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88C59">
      <w:pPr>
        <w:jc w:val="center"/>
        <w:rPr>
          <w:rFonts w:hint="eastAsia" w:ascii="宋体" w:hAnsi="宋体"/>
          <w:b/>
          <w:color w:val="auto"/>
          <w:sz w:val="72"/>
          <w:highlight w:val="none"/>
        </w:rPr>
      </w:pPr>
      <w:r>
        <w:rPr>
          <w:rFonts w:hint="eastAsia" w:ascii="宋体" w:hAnsi="宋体"/>
          <w:b/>
          <w:color w:val="auto"/>
          <w:sz w:val="72"/>
          <w:highlight w:val="none"/>
        </w:rPr>
        <w:t xml:space="preserve">厦 门 市 大 宗 货 物     </w:t>
      </w:r>
    </w:p>
    <w:p w14:paraId="5C25CA62">
      <w:pPr>
        <w:jc w:val="center"/>
        <w:rPr>
          <w:rFonts w:hint="eastAsia" w:ascii="宋体" w:hAnsi="宋体"/>
          <w:b/>
          <w:color w:val="auto"/>
          <w:sz w:val="72"/>
          <w:highlight w:val="none"/>
        </w:rPr>
      </w:pPr>
      <w:r>
        <w:rPr>
          <w:rFonts w:hint="eastAsia" w:ascii="宋体" w:hAnsi="宋体"/>
          <w:b/>
          <w:color w:val="auto"/>
          <w:sz w:val="72"/>
          <w:highlight w:val="none"/>
        </w:rPr>
        <w:t xml:space="preserve">政 </w:t>
      </w:r>
      <w:bookmarkStart w:id="6" w:name="_GoBack"/>
      <w:bookmarkEnd w:id="6"/>
      <w:r>
        <w:rPr>
          <w:rFonts w:hint="eastAsia" w:ascii="宋体" w:hAnsi="宋体"/>
          <w:b/>
          <w:color w:val="auto"/>
          <w:sz w:val="72"/>
          <w:highlight w:val="none"/>
        </w:rPr>
        <w:t xml:space="preserve">府 采 购 项 目 </w:t>
      </w:r>
    </w:p>
    <w:p w14:paraId="15246B06">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430F14DA">
      <w:pPr>
        <w:spacing w:line="360" w:lineRule="auto"/>
        <w:ind w:firstLine="1438" w:firstLineChars="398"/>
        <w:rPr>
          <w:rFonts w:hint="eastAsia" w:ascii="宋体" w:hAnsi="宋体"/>
          <w:b/>
          <w:color w:val="auto"/>
          <w:sz w:val="36"/>
          <w:highlight w:val="none"/>
        </w:rPr>
      </w:pPr>
    </w:p>
    <w:p w14:paraId="2C01D73C">
      <w:pPr>
        <w:spacing w:line="360" w:lineRule="auto"/>
        <w:ind w:firstLine="1438" w:firstLineChars="398"/>
        <w:rPr>
          <w:rFonts w:hint="eastAsia" w:ascii="宋体" w:hAnsi="宋体"/>
          <w:b/>
          <w:color w:val="auto"/>
          <w:sz w:val="36"/>
          <w:highlight w:val="none"/>
        </w:rPr>
      </w:pPr>
    </w:p>
    <w:p w14:paraId="23D4E9BF">
      <w:pPr>
        <w:spacing w:line="360" w:lineRule="auto"/>
        <w:ind w:firstLine="1438" w:firstLineChars="398"/>
        <w:rPr>
          <w:rFonts w:hint="eastAsia" w:ascii="宋体" w:hAnsi="宋体"/>
          <w:b/>
          <w:color w:val="auto"/>
          <w:sz w:val="36"/>
          <w:highlight w:val="none"/>
        </w:rPr>
      </w:pPr>
    </w:p>
    <w:p w14:paraId="7E67DFF6">
      <w:pPr>
        <w:spacing w:line="360" w:lineRule="auto"/>
        <w:ind w:firstLine="1438" w:firstLineChars="398"/>
        <w:rPr>
          <w:rFonts w:hint="eastAsia" w:ascii="宋体" w:hAnsi="宋体"/>
          <w:b/>
          <w:color w:val="auto"/>
          <w:sz w:val="36"/>
          <w:highlight w:val="none"/>
        </w:rPr>
      </w:pPr>
    </w:p>
    <w:p w14:paraId="6A501E10">
      <w:pPr>
        <w:spacing w:line="360" w:lineRule="auto"/>
        <w:ind w:firstLine="1438" w:firstLineChars="398"/>
        <w:rPr>
          <w:rFonts w:hint="eastAsia" w:ascii="宋体" w:hAnsi="宋体"/>
          <w:b/>
          <w:color w:val="auto"/>
          <w:sz w:val="36"/>
          <w:highlight w:val="none"/>
          <w:u w:val="single"/>
        </w:rPr>
      </w:pPr>
      <w:r>
        <w:rPr>
          <w:rFonts w:hint="eastAsia" w:ascii="宋体" w:hAnsi="宋体"/>
          <w:b/>
          <w:color w:val="auto"/>
          <w:sz w:val="36"/>
          <w:highlight w:val="none"/>
        </w:rPr>
        <w:t>招 标 编 号：</w:t>
      </w:r>
      <w:r>
        <w:rPr>
          <w:rFonts w:hint="eastAsia" w:ascii="宋体" w:hAnsi="宋体"/>
          <w:b/>
          <w:color w:val="auto"/>
          <w:sz w:val="36"/>
          <w:highlight w:val="none"/>
          <w:u w:val="single"/>
        </w:rPr>
        <w:t>XM2026-DZ0019</w:t>
      </w:r>
    </w:p>
    <w:p w14:paraId="799B6A63">
      <w:pPr>
        <w:spacing w:line="360" w:lineRule="auto"/>
        <w:ind w:left="3948" w:leftChars="684" w:hanging="2512" w:hangingChars="695"/>
        <w:rPr>
          <w:rFonts w:hint="eastAsia" w:ascii="宋体" w:hAnsi="宋体"/>
          <w:b/>
          <w:color w:val="auto"/>
          <w:sz w:val="36"/>
          <w:highlight w:val="none"/>
          <w:u w:val="single"/>
        </w:rPr>
      </w:pPr>
      <w:r>
        <w:rPr>
          <w:rFonts w:hint="eastAsia" w:ascii="宋体" w:hAnsi="宋体"/>
          <w:b/>
          <w:color w:val="auto"/>
          <w:sz w:val="36"/>
          <w:highlight w:val="none"/>
        </w:rPr>
        <w:t>项 目 名 称</w:t>
      </w:r>
      <w:r>
        <w:rPr>
          <w:rFonts w:hint="eastAsia" w:ascii="宋体" w:hAnsi="宋体"/>
          <w:b/>
          <w:color w:val="auto"/>
          <w:sz w:val="36"/>
          <w:highlight w:val="none"/>
        </w:rPr>
        <w:t>：2026年大宗复印纸采购</w:t>
      </w:r>
    </w:p>
    <w:p w14:paraId="1BE5BC68">
      <w:pPr>
        <w:spacing w:line="360" w:lineRule="auto"/>
        <w:ind w:firstLine="1438" w:firstLineChars="398"/>
        <w:rPr>
          <w:rFonts w:hint="eastAsia" w:ascii="宋体" w:hAnsi="宋体"/>
          <w:b/>
          <w:color w:val="auto"/>
          <w:sz w:val="36"/>
          <w:highlight w:val="none"/>
        </w:rPr>
      </w:pPr>
    </w:p>
    <w:p w14:paraId="4D825E76">
      <w:pPr>
        <w:spacing w:line="360" w:lineRule="auto"/>
        <w:ind w:firstLine="1438" w:firstLineChars="398"/>
        <w:rPr>
          <w:rFonts w:hint="eastAsia" w:ascii="宋体" w:hAnsi="宋体"/>
          <w:b/>
          <w:color w:val="auto"/>
          <w:sz w:val="36"/>
          <w:highlight w:val="none"/>
        </w:rPr>
      </w:pPr>
    </w:p>
    <w:p w14:paraId="2B12761E">
      <w:pPr>
        <w:spacing w:line="360" w:lineRule="auto"/>
        <w:ind w:firstLine="1438" w:firstLineChars="398"/>
        <w:rPr>
          <w:rFonts w:hint="eastAsia" w:ascii="宋体" w:hAnsi="宋体"/>
          <w:b/>
          <w:color w:val="auto"/>
          <w:sz w:val="36"/>
          <w:highlight w:val="none"/>
        </w:rPr>
      </w:pPr>
    </w:p>
    <w:p w14:paraId="336A2A65">
      <w:pPr>
        <w:spacing w:line="360" w:lineRule="auto"/>
        <w:ind w:firstLine="1438" w:firstLineChars="398"/>
        <w:rPr>
          <w:rFonts w:hint="eastAsia" w:ascii="宋体" w:hAnsi="宋体"/>
          <w:b/>
          <w:color w:val="auto"/>
          <w:sz w:val="36"/>
          <w:highlight w:val="none"/>
        </w:rPr>
      </w:pPr>
    </w:p>
    <w:p w14:paraId="65464417">
      <w:pPr>
        <w:spacing w:line="360" w:lineRule="auto"/>
        <w:ind w:firstLine="1438" w:firstLineChars="398"/>
        <w:rPr>
          <w:rFonts w:hint="eastAsia" w:ascii="宋体" w:hAnsi="宋体"/>
          <w:b/>
          <w:color w:val="auto"/>
          <w:sz w:val="36"/>
          <w:highlight w:val="none"/>
        </w:rPr>
      </w:pPr>
    </w:p>
    <w:p w14:paraId="1F9105F9">
      <w:pPr>
        <w:pStyle w:val="6"/>
        <w:spacing w:line="360" w:lineRule="auto"/>
        <w:ind w:firstLine="1438" w:firstLineChars="398"/>
        <w:jc w:val="left"/>
        <w:rPr>
          <w:rFonts w:hint="eastAsia" w:hAnsi="宋体"/>
          <w:b/>
          <w:color w:val="auto"/>
          <w:spacing w:val="20"/>
          <w:sz w:val="32"/>
          <w:highlight w:val="none"/>
        </w:rPr>
      </w:pPr>
      <w:r>
        <w:rPr>
          <w:rFonts w:hint="eastAsia" w:hAnsi="宋体" w:cs="宋体"/>
          <w:b/>
          <w:color w:val="auto"/>
          <w:spacing w:val="20"/>
          <w:sz w:val="32"/>
          <w:highlight w:val="none"/>
        </w:rPr>
        <w:t>使用单位：</w:t>
      </w:r>
      <w:r>
        <w:rPr>
          <w:rFonts w:hint="eastAsia" w:hAnsi="宋体"/>
          <w:b/>
          <w:color w:val="auto"/>
          <w:spacing w:val="20"/>
          <w:sz w:val="32"/>
          <w:highlight w:val="none"/>
        </w:rPr>
        <w:t>厦门市政府机关事业单位和福建</w:t>
      </w:r>
    </w:p>
    <w:p w14:paraId="2C606D3C">
      <w:pPr>
        <w:pStyle w:val="6"/>
        <w:ind w:firstLine="1445" w:firstLineChars="400"/>
        <w:jc w:val="left"/>
        <w:rPr>
          <w:rFonts w:hint="eastAsia" w:hAnsi="宋体" w:cs="宋体"/>
          <w:b/>
          <w:color w:val="auto"/>
          <w:spacing w:val="20"/>
          <w:sz w:val="32"/>
          <w:highlight w:val="none"/>
        </w:rPr>
      </w:pPr>
      <w:r>
        <w:rPr>
          <w:rFonts w:hint="eastAsia" w:hAnsi="宋体"/>
          <w:b/>
          <w:color w:val="auto"/>
          <w:spacing w:val="20"/>
          <w:sz w:val="32"/>
          <w:highlight w:val="none"/>
        </w:rPr>
        <w:t>省内其他终端用户</w:t>
      </w:r>
    </w:p>
    <w:p w14:paraId="5AA6C604">
      <w:pPr>
        <w:pStyle w:val="6"/>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01A4F1BA">
      <w:pPr>
        <w:pStyle w:val="6"/>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4EB01FBB">
      <w:pPr>
        <w:spacing w:line="360" w:lineRule="auto"/>
        <w:ind w:firstLine="1438" w:firstLineChars="398"/>
        <w:rPr>
          <w:rFonts w:hint="eastAsia" w:ascii="宋体" w:hAnsi="宋体"/>
          <w:b/>
          <w:color w:val="auto"/>
          <w:sz w:val="36"/>
          <w:highlight w:val="none"/>
        </w:rPr>
      </w:pPr>
    </w:p>
    <w:p w14:paraId="095ED23C">
      <w:pPr>
        <w:pStyle w:val="6"/>
        <w:spacing w:line="360" w:lineRule="auto"/>
        <w:jc w:val="center"/>
        <w:outlineLvl w:val="9"/>
        <w:rPr>
          <w:rFonts w:hint="eastAsia" w:hAnsi="宋体"/>
          <w:b/>
          <w:color w:val="auto"/>
          <w:sz w:val="32"/>
          <w:highlight w:val="none"/>
        </w:rPr>
      </w:pPr>
      <w:r>
        <w:rPr>
          <w:rFonts w:hint="eastAsia" w:hAnsi="宋体"/>
          <w:b/>
          <w:color w:val="auto"/>
          <w:sz w:val="32"/>
          <w:highlight w:val="none"/>
        </w:rPr>
        <w:t>2026年</w:t>
      </w:r>
    </w:p>
    <w:p w14:paraId="231F2DEB">
      <w:pPr>
        <w:pStyle w:val="6"/>
        <w:spacing w:line="360" w:lineRule="auto"/>
        <w:jc w:val="center"/>
        <w:outlineLvl w:val="9"/>
        <w:rPr>
          <w:rFonts w:hint="eastAsia" w:hAnsi="宋体"/>
          <w:b/>
          <w:color w:val="auto"/>
          <w:sz w:val="32"/>
          <w:highlight w:val="none"/>
        </w:rPr>
      </w:pPr>
    </w:p>
    <w:p w14:paraId="3B2B87C1">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关于政府采购信用贷款的提示</w:t>
      </w:r>
    </w:p>
    <w:p w14:paraId="520B09D7">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（201608版）</w:t>
      </w:r>
    </w:p>
    <w:p w14:paraId="431437AF">
      <w:pPr>
        <w:rPr>
          <w:rFonts w:hint="eastAsia" w:ascii="宋体" w:hAnsi="宋体" w:cs="宋体"/>
          <w:color w:val="auto"/>
          <w:sz w:val="24"/>
          <w:szCs w:val="24"/>
          <w:highlight w:val="none"/>
        </w:rPr>
      </w:pPr>
    </w:p>
    <w:p w14:paraId="4066AE1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61468F6D">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 xml:space="preserve">有关金融机构联系方式： </w:t>
      </w:r>
    </w:p>
    <w:p w14:paraId="3F80B44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（一）中国建设银行厦门分行：</w:t>
      </w:r>
    </w:p>
    <w:p w14:paraId="3FC9D099">
      <w:pPr>
        <w:spacing w:line="360" w:lineRule="auto"/>
        <w:ind w:firstLine="600" w:firstLineChars="25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联系人：魏慧媛   2158595 </w:t>
      </w:r>
    </w:p>
    <w:p w14:paraId="48BFC20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（二）中国光大银行厦门分行：</w:t>
      </w:r>
    </w:p>
    <w:p w14:paraId="367F6F97">
      <w:pPr>
        <w:spacing w:line="360" w:lineRule="auto"/>
        <w:ind w:firstLine="600" w:firstLineChars="250"/>
        <w:rPr>
          <w:rFonts w:hint="eastAsia" w:ascii="宋体" w:hAnsi="宋体" w:cs="宋体"/>
          <w:color w:val="auto"/>
          <w:sz w:val="24"/>
          <w:szCs w:val="24"/>
          <w:highlight w:val="none"/>
        </w:rPr>
      </w:pPr>
      <w:r>
        <w:rPr>
          <w:rFonts w:hint="eastAsia" w:ascii="宋体" w:hAnsi="宋体" w:cs="宋体"/>
          <w:color w:val="auto"/>
          <w:sz w:val="24"/>
          <w:szCs w:val="24"/>
          <w:highlight w:val="none"/>
        </w:rPr>
        <w:t>联系人：陈  虹   2283776、13806013400；朱姗姗   2991131、18050082825</w:t>
      </w:r>
    </w:p>
    <w:p w14:paraId="3D4EF2E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（三）兴业银行厦门分行</w:t>
      </w:r>
    </w:p>
    <w:p w14:paraId="774F0937">
      <w:pPr>
        <w:spacing w:line="360" w:lineRule="auto"/>
        <w:ind w:firstLine="600" w:firstLineChars="25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联系人：陈小姐  0592-5312509 13599531245 ；高经理  0592-5312350 13850017508 </w:t>
      </w:r>
    </w:p>
    <w:p w14:paraId="3F1B739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（四）厦门市担保有限公司：</w:t>
      </w:r>
    </w:p>
    <w:p w14:paraId="6F49E022">
      <w:pPr>
        <w:spacing w:line="360" w:lineRule="auto"/>
        <w:ind w:firstLine="600" w:firstLineChars="250"/>
        <w:rPr>
          <w:rFonts w:hint="eastAsia" w:ascii="宋体" w:hAnsi="宋体" w:cs="宋体"/>
          <w:color w:val="auto"/>
          <w:sz w:val="24"/>
          <w:szCs w:val="24"/>
          <w:highlight w:val="none"/>
        </w:rPr>
      </w:pPr>
      <w:r>
        <w:rPr>
          <w:rFonts w:hint="eastAsia" w:ascii="宋体" w:hAnsi="宋体" w:cs="宋体"/>
          <w:color w:val="auto"/>
          <w:sz w:val="24"/>
          <w:szCs w:val="24"/>
          <w:highlight w:val="none"/>
        </w:rPr>
        <w:t>联系人：陈文辉   5125116；吴龙辉   5120019</w:t>
      </w:r>
    </w:p>
    <w:p w14:paraId="57DCE38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（五）</w:t>
      </w:r>
      <w:r>
        <w:rPr>
          <w:rFonts w:hint="eastAsia" w:ascii="宋体" w:hAnsi="宋体" w:cs="宋体"/>
          <w:color w:val="auto"/>
          <w:sz w:val="24"/>
          <w:szCs w:val="24"/>
          <w:highlight w:val="none"/>
        </w:rPr>
        <w:t xml:space="preserve">厦门银行股份有限公司 </w:t>
      </w:r>
    </w:p>
    <w:p w14:paraId="14F9477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联系人：张冬梅 13395990009 ；陈韵 13656021986</w:t>
      </w:r>
    </w:p>
    <w:p w14:paraId="3E95714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015B663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本提示仅作为信息告知，具体贷款事宜以银行等有关金融机构审批为准。</w:t>
      </w:r>
    </w:p>
    <w:p w14:paraId="52781C1E">
      <w:pPr>
        <w:spacing w:line="360" w:lineRule="auto"/>
        <w:ind w:firstLine="480" w:firstLineChars="200"/>
        <w:rPr>
          <w:rFonts w:hint="eastAsia" w:ascii="宋体" w:hAnsi="宋体" w:cs="宋体"/>
          <w:color w:val="auto"/>
          <w:sz w:val="24"/>
          <w:szCs w:val="24"/>
          <w:highlight w:val="none"/>
        </w:rPr>
      </w:pPr>
    </w:p>
    <w:p w14:paraId="0947A774">
      <w:pPr>
        <w:spacing w:line="360" w:lineRule="auto"/>
        <w:ind w:firstLine="480" w:firstLineChars="200"/>
        <w:rPr>
          <w:rFonts w:hint="eastAsia" w:ascii="宋体" w:hAnsi="宋体" w:cs="宋体"/>
          <w:color w:val="auto"/>
          <w:sz w:val="24"/>
          <w:szCs w:val="24"/>
          <w:highlight w:val="none"/>
        </w:rPr>
      </w:pPr>
    </w:p>
    <w:p w14:paraId="0825AB3D">
      <w:pPr>
        <w:spacing w:line="360" w:lineRule="auto"/>
        <w:ind w:firstLine="480" w:firstLineChars="200"/>
        <w:rPr>
          <w:rFonts w:hint="eastAsia" w:ascii="宋体" w:hAnsi="宋体" w:cs="宋体"/>
          <w:color w:val="auto"/>
          <w:sz w:val="24"/>
          <w:szCs w:val="24"/>
          <w:highlight w:val="none"/>
        </w:rPr>
      </w:pPr>
    </w:p>
    <w:p w14:paraId="7AB607A2">
      <w:pPr>
        <w:spacing w:line="360" w:lineRule="auto"/>
        <w:ind w:firstLine="480" w:firstLineChars="200"/>
        <w:rPr>
          <w:rFonts w:hint="eastAsia" w:ascii="宋体" w:hAnsi="宋体" w:cs="宋体"/>
          <w:color w:val="auto"/>
          <w:sz w:val="24"/>
          <w:szCs w:val="24"/>
          <w:highlight w:val="none"/>
        </w:rPr>
      </w:pPr>
    </w:p>
    <w:p w14:paraId="540E1D33">
      <w:pPr>
        <w:spacing w:line="360" w:lineRule="auto"/>
        <w:rPr>
          <w:rFonts w:hint="eastAsia" w:ascii="宋体" w:hAnsi="宋体" w:cs="宋体"/>
          <w:color w:val="auto"/>
          <w:sz w:val="24"/>
          <w:szCs w:val="24"/>
          <w:highlight w:val="none"/>
        </w:rPr>
      </w:pPr>
    </w:p>
    <w:p w14:paraId="588E4026">
      <w:pPr>
        <w:pStyle w:val="6"/>
        <w:spacing w:line="360" w:lineRule="auto"/>
        <w:jc w:val="center"/>
        <w:outlineLvl w:val="9"/>
        <w:rPr>
          <w:rFonts w:hint="eastAsia" w:hAnsi="宋体" w:cs="宋体"/>
          <w:b/>
          <w:bCs/>
          <w:color w:val="auto"/>
          <w:sz w:val="32"/>
          <w:szCs w:val="32"/>
          <w:highlight w:val="none"/>
        </w:rPr>
      </w:pPr>
      <w:r>
        <w:rPr>
          <w:rFonts w:hint="eastAsia" w:hAnsi="宋体" w:cs="宋体"/>
          <w:b/>
          <w:bCs/>
          <w:color w:val="auto"/>
          <w:sz w:val="32"/>
          <w:szCs w:val="32"/>
          <w:highlight w:val="none"/>
        </w:rPr>
        <w:t xml:space="preserve">  目   录</w:t>
      </w:r>
    </w:p>
    <w:p w14:paraId="06663CE3">
      <w:pPr>
        <w:pStyle w:val="3"/>
        <w:snapToGrid w:val="0"/>
        <w:spacing w:line="360" w:lineRule="auto"/>
        <w:ind w:firstLine="0"/>
        <w:rPr>
          <w:rFonts w:hint="eastAsia" w:ascii="宋体" w:hAnsi="宋体" w:cs="宋体"/>
          <w:color w:val="auto"/>
          <w:sz w:val="24"/>
          <w:szCs w:val="24"/>
          <w:highlight w:val="none"/>
        </w:rPr>
      </w:pPr>
    </w:p>
    <w:p w14:paraId="47C576AE">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第一章    投标邀请 …………………………………………………1</w:t>
      </w:r>
    </w:p>
    <w:p w14:paraId="2A33C94C">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投标邀请函……………………………………………………1-1</w:t>
      </w:r>
    </w:p>
    <w:p w14:paraId="6397B6B6">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第二章    投标人须知  ……………………………………………2</w:t>
      </w:r>
    </w:p>
    <w:p w14:paraId="4397BEC7">
      <w:pPr>
        <w:spacing w:line="360" w:lineRule="auto"/>
        <w:ind w:firstLine="240" w:firstLineChars="100"/>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投标人须知前附表1、2、3、4 </w:t>
      </w:r>
      <w:r>
        <w:rPr>
          <w:rFonts w:hint="eastAsia" w:ascii="宋体" w:hAnsi="宋体" w:cs="宋体"/>
          <w:color w:val="auto"/>
          <w:sz w:val="24"/>
          <w:szCs w:val="24"/>
          <w:highlight w:val="none"/>
        </w:rPr>
        <w:t>……………………………………2-1-1</w:t>
      </w:r>
    </w:p>
    <w:p w14:paraId="5E767818">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一、 说明 ………………………………………………………2-2-1</w:t>
      </w:r>
    </w:p>
    <w:p w14:paraId="2A016FB0">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二、 招标文件 ………………………………………………2-2-4</w:t>
      </w:r>
    </w:p>
    <w:p w14:paraId="10A57E48">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三、 投标文件的编写 ………………………………………2-2-5</w:t>
      </w:r>
    </w:p>
    <w:p w14:paraId="3BAD274D">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四、 投标文件的提交 …………………………………………2-2-8</w:t>
      </w:r>
    </w:p>
    <w:p w14:paraId="425658D8">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五、 投标文件的评估和比较 …………………………………2-2-9</w:t>
      </w:r>
    </w:p>
    <w:p w14:paraId="48832EB7">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六、 定标与签订合同…………………………………………2-2-12</w:t>
      </w:r>
    </w:p>
    <w:p w14:paraId="301AF7D6">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七、 意外情况的处理  ……………………………………  2-2-15</w:t>
      </w:r>
    </w:p>
    <w:p w14:paraId="65BA7D22">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第三章    招标内容及要求  ……………………………………3-1</w:t>
      </w:r>
    </w:p>
    <w:p w14:paraId="056E2F26">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cs="宋体"/>
          <w:color w:val="auto"/>
          <w:sz w:val="24"/>
          <w:szCs w:val="24"/>
          <w:highlight w:val="none"/>
        </w:rPr>
        <w:t>……………………4-1</w:t>
      </w:r>
    </w:p>
    <w:p w14:paraId="1AB365C7">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第五章    投标文件格式 …………………………………………5-1</w:t>
      </w:r>
    </w:p>
    <w:p w14:paraId="4579133B">
      <w:pPr>
        <w:pStyle w:val="3"/>
        <w:spacing w:line="360" w:lineRule="auto"/>
        <w:ind w:firstLine="2250" w:firstLineChars="934"/>
        <w:rPr>
          <w:rFonts w:hint="eastAsia" w:ascii="宋体" w:hAnsi="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14:paraId="47C97755">
      <w:pPr>
        <w:pStyle w:val="17"/>
        <w:spacing w:line="360" w:lineRule="auto"/>
        <w:jc w:val="center"/>
        <w:rPr>
          <w:rFonts w:hint="eastAsia" w:hAnsi="宋体" w:cs="宋体"/>
          <w:b/>
          <w:bCs/>
          <w:color w:val="auto"/>
          <w:sz w:val="32"/>
          <w:szCs w:val="32"/>
          <w:highlight w:val="none"/>
        </w:rPr>
      </w:pPr>
      <w:r>
        <w:rPr>
          <w:rFonts w:hint="eastAsia" w:hAnsi="宋体" w:cs="宋体"/>
          <w:b/>
          <w:color w:val="auto"/>
          <w:sz w:val="32"/>
          <w:szCs w:val="32"/>
          <w:highlight w:val="none"/>
        </w:rPr>
        <w:t>第一章  投标邀请函</w:t>
      </w:r>
    </w:p>
    <w:p w14:paraId="04271A2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cs="宋体"/>
          <w:color w:val="auto"/>
          <w:sz w:val="24"/>
          <w:szCs w:val="24"/>
          <w:highlight w:val="none"/>
        </w:rPr>
        <w:t>委托，</w:t>
      </w:r>
      <w:r>
        <w:rPr>
          <w:rFonts w:hint="eastAsia" w:ascii="宋体" w:hAnsi="宋体" w:cs="宋体"/>
          <w:b/>
          <w:color w:val="auto"/>
          <w:sz w:val="24"/>
          <w:szCs w:val="24"/>
          <w:highlight w:val="none"/>
          <w:u w:val="single"/>
        </w:rPr>
        <w:t>厦门万翔招标有限公司</w:t>
      </w:r>
      <w:r>
        <w:rPr>
          <w:rFonts w:hint="eastAsia" w:ascii="宋体" w:hAnsi="宋体" w:cs="宋体"/>
          <w:color w:val="auto"/>
          <w:sz w:val="24"/>
          <w:szCs w:val="24"/>
          <w:highlight w:val="none"/>
        </w:rPr>
        <w:t>对</w:t>
      </w:r>
      <w:r>
        <w:rPr>
          <w:rFonts w:hint="eastAsia" w:ascii="宋体" w:hAnsi="宋体" w:cs="宋体"/>
          <w:b/>
          <w:bCs/>
          <w:color w:val="auto"/>
          <w:sz w:val="24"/>
          <w:szCs w:val="24"/>
          <w:highlight w:val="none"/>
          <w:u w:val="single"/>
        </w:rPr>
        <w:t>2026年大宗复印纸采购</w:t>
      </w:r>
      <w:r>
        <w:rPr>
          <w:rFonts w:hint="eastAsia" w:ascii="宋体" w:hAnsi="宋体" w:cs="宋体"/>
          <w:color w:val="auto"/>
          <w:sz w:val="24"/>
          <w:szCs w:val="24"/>
          <w:highlight w:val="none"/>
        </w:rPr>
        <w:t>货物（或服务）进行国内公开招标，现欢迎国内合格的投标人前来投标。</w:t>
      </w:r>
    </w:p>
    <w:p w14:paraId="0A356523">
      <w:pPr>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1、招标编号：</w:t>
      </w:r>
      <w:r>
        <w:rPr>
          <w:rFonts w:hint="eastAsia" w:ascii="宋体" w:hAnsi="宋体" w:cs="宋体"/>
          <w:color w:val="auto"/>
          <w:sz w:val="24"/>
          <w:szCs w:val="24"/>
          <w:highlight w:val="none"/>
          <w:u w:val="single"/>
        </w:rPr>
        <w:t>XM2026-DZ0019。</w:t>
      </w:r>
    </w:p>
    <w:p w14:paraId="6B642061">
      <w:pPr>
        <w:spacing w:line="360" w:lineRule="auto"/>
        <w:ind w:firstLine="480" w:firstLineChars="200"/>
        <w:rPr>
          <w:rFonts w:hint="eastAsia" w:ascii="宋体" w:hAnsi="宋体" w:cs="宋体"/>
          <w:color w:val="auto"/>
          <w:spacing w:val="0"/>
          <w:sz w:val="24"/>
          <w:szCs w:val="24"/>
          <w:highlight w:val="none"/>
        </w:rPr>
      </w:pPr>
      <w:r>
        <w:rPr>
          <w:rFonts w:hint="eastAsia" w:ascii="宋体" w:hAnsi="宋体" w:cs="宋体"/>
          <w:color w:val="auto"/>
          <w:spacing w:val="0"/>
          <w:sz w:val="24"/>
          <w:szCs w:val="24"/>
          <w:highlight w:val="none"/>
        </w:rPr>
        <w:t>2、招标货物（服务）名称、数量及主要技术规格：见后</w:t>
      </w:r>
      <w:r>
        <w:rPr>
          <w:rFonts w:hint="eastAsia" w:ascii="宋体" w:hAnsi="宋体" w:cs="宋体"/>
          <w:color w:val="auto"/>
          <w:sz w:val="24"/>
          <w:szCs w:val="24"/>
          <w:highlight w:val="none"/>
        </w:rPr>
        <w:t>附招标货物（</w:t>
      </w:r>
      <w:r>
        <w:rPr>
          <w:rFonts w:hint="eastAsia" w:ascii="宋体" w:hAnsi="宋体" w:cs="宋体"/>
          <w:color w:val="auto"/>
          <w:spacing w:val="0"/>
          <w:sz w:val="24"/>
          <w:szCs w:val="24"/>
          <w:highlight w:val="none"/>
        </w:rPr>
        <w:t>服务）</w:t>
      </w:r>
      <w:r>
        <w:rPr>
          <w:rFonts w:hint="eastAsia" w:ascii="宋体" w:hAnsi="宋体" w:cs="宋体"/>
          <w:color w:val="auto"/>
          <w:sz w:val="24"/>
          <w:szCs w:val="24"/>
          <w:highlight w:val="none"/>
        </w:rPr>
        <w:t>一览表。</w:t>
      </w:r>
    </w:p>
    <w:p w14:paraId="484C690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3、招标文件获取方式：</w:t>
      </w:r>
      <w:r>
        <w:rPr>
          <w:rFonts w:hint="eastAsia" w:ascii="宋体" w:hAnsi="宋体" w:cs="宋体"/>
          <w:bCs/>
          <w:color w:val="auto"/>
          <w:sz w:val="24"/>
          <w:szCs w:val="24"/>
          <w:highlight w:val="none"/>
        </w:rPr>
        <w:t>2026年</w:t>
      </w:r>
      <w:r>
        <w:rPr>
          <w:rFonts w:hint="eastAsia" w:ascii="宋体" w:hAnsi="宋体" w:cs="宋体"/>
          <w:bCs/>
          <w:color w:val="auto"/>
          <w:sz w:val="24"/>
          <w:szCs w:val="24"/>
          <w:highlight w:val="none"/>
          <w:lang w:val="en-US" w:eastAsia="zh-CN"/>
        </w:rPr>
        <w:t>05</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20</w:t>
      </w:r>
      <w:r>
        <w:rPr>
          <w:rFonts w:hint="eastAsia" w:ascii="宋体" w:hAnsi="宋体" w:cs="宋体"/>
          <w:color w:val="auto"/>
          <w:sz w:val="24"/>
          <w:szCs w:val="24"/>
          <w:highlight w:val="none"/>
        </w:rPr>
        <w:t>日至2026年</w:t>
      </w:r>
      <w:r>
        <w:rPr>
          <w:rFonts w:hint="eastAsia" w:ascii="宋体" w:hAnsi="宋体" w:cs="宋体"/>
          <w:color w:val="auto"/>
          <w:sz w:val="24"/>
          <w:szCs w:val="24"/>
          <w:highlight w:val="none"/>
          <w:lang w:val="en-US" w:eastAsia="zh-CN"/>
        </w:rPr>
        <w:t>06</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05</w:t>
      </w:r>
      <w:r>
        <w:rPr>
          <w:rFonts w:hint="eastAsia" w:ascii="宋体" w:hAnsi="宋体" w:cs="宋体"/>
          <w:color w:val="auto"/>
          <w:sz w:val="24"/>
          <w:szCs w:val="24"/>
          <w:highlight w:val="none"/>
        </w:rPr>
        <w:t>日</w:t>
      </w:r>
      <w:r>
        <w:rPr>
          <w:rFonts w:hint="eastAsia" w:ascii="宋体" w:hAnsi="宋体" w:cs="宋体"/>
          <w:color w:val="auto"/>
          <w:sz w:val="24"/>
          <w:szCs w:val="24"/>
          <w:highlight w:val="none"/>
        </w:rPr>
        <w:t>，有意向的供应商应在厦门招投标网（http://www.xmztb.com，下同）注册账号，登录后可免费在线浏览招标文件，完成缴费并下载招标文件后方具备投标资格。缴费仅支持在线扫码支付。</w:t>
      </w:r>
    </w:p>
    <w:p w14:paraId="5C90025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A、供应商注册详见厦门招投标网－办事指南－操作手册—《供应商注册登记操作手册》</w:t>
      </w:r>
    </w:p>
    <w:p w14:paraId="6EFF8B6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B、缴费及下载招标文件详见厦门招投标网－办事指南－操作手册—《供应商招标项目操作手册》</w:t>
      </w:r>
    </w:p>
    <w:p w14:paraId="4C184EBE">
      <w:pPr>
        <w:pStyle w:val="6"/>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4、招标文件售价：</w:t>
      </w:r>
      <w:r>
        <w:rPr>
          <w:rFonts w:hint="eastAsia" w:hAnsi="宋体" w:cs="宋体"/>
          <w:color w:val="auto"/>
          <w:sz w:val="24"/>
          <w:szCs w:val="24"/>
          <w:highlight w:val="none"/>
        </w:rPr>
        <w:t>每个合同包</w:t>
      </w:r>
      <w:r>
        <w:rPr>
          <w:rFonts w:hint="eastAsia" w:hAnsi="宋体" w:cs="宋体"/>
          <w:color w:val="auto"/>
          <w:sz w:val="24"/>
          <w:szCs w:val="24"/>
          <w:highlight w:val="none"/>
          <w:u w:val="single"/>
        </w:rPr>
        <w:t xml:space="preserve"> 0 </w:t>
      </w:r>
      <w:r>
        <w:rPr>
          <w:rFonts w:hint="eastAsia" w:hAnsi="宋体" w:cs="宋体"/>
          <w:color w:val="auto"/>
          <w:sz w:val="24"/>
          <w:szCs w:val="24"/>
          <w:highlight w:val="none"/>
        </w:rPr>
        <w:t>元人民币</w:t>
      </w:r>
      <w:r>
        <w:rPr>
          <w:rFonts w:hint="eastAsia" w:hAnsi="宋体" w:cs="宋体"/>
          <w:color w:val="auto"/>
          <w:sz w:val="24"/>
          <w:szCs w:val="24"/>
          <w:highlight w:val="none"/>
        </w:rPr>
        <w:t>，售后不退。</w:t>
      </w:r>
    </w:p>
    <w:p w14:paraId="23AD587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5、投标截止时间：投标文件应于</w:t>
      </w:r>
      <w:r>
        <w:rPr>
          <w:rFonts w:hint="eastAsia" w:ascii="宋体" w:hAnsi="宋体" w:cs="宋体"/>
          <w:color w:val="auto"/>
          <w:sz w:val="24"/>
          <w:szCs w:val="24"/>
          <w:highlight w:val="none"/>
        </w:rPr>
        <w:t>2026年</w:t>
      </w:r>
      <w:r>
        <w:rPr>
          <w:rFonts w:hint="eastAsia" w:ascii="宋体" w:hAnsi="宋体" w:cs="宋体"/>
          <w:color w:val="auto"/>
          <w:sz w:val="24"/>
          <w:szCs w:val="24"/>
          <w:highlight w:val="none"/>
          <w:lang w:val="en-US" w:eastAsia="zh-CN"/>
        </w:rPr>
        <w:t>06</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w:t>
      </w:r>
      <w:r>
        <w:rPr>
          <w:rFonts w:hint="eastAsia" w:ascii="宋体" w:hAnsi="宋体" w:cs="宋体"/>
          <w:color w:val="auto"/>
          <w:sz w:val="24"/>
          <w:szCs w:val="24"/>
          <w:highlight w:val="none"/>
        </w:rPr>
        <w:t>（北京时间）之前登录厦门招投标网上传投标文件。已上传但未提示上传成功的投标无效。</w:t>
      </w:r>
    </w:p>
    <w:p w14:paraId="2DC11B9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A、网上投标详见厦门招投标网－办事指南－操作手册—《供应商招标项目操作手册》。</w:t>
      </w:r>
    </w:p>
    <w:p w14:paraId="2E4F022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5"/>
          <w:rFonts w:ascii="Helvetica" w:hAnsi="Helvetica" w:eastAsia="Helvetica" w:cs="Helvetica"/>
          <w:b w:val="0"/>
          <w:bCs w:val="0"/>
          <w:color w:val="auto"/>
          <w:sz w:val="24"/>
          <w:szCs w:val="24"/>
          <w:highlight w:val="none"/>
          <w:shd w:val="clear" w:color="auto" w:fill="FFFFFF"/>
        </w:rPr>
        <w:t>数字证书办理</w:t>
      </w:r>
      <w:r>
        <w:rPr>
          <w:rStyle w:val="15"/>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5D06413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6、开标时间、地点：</w:t>
      </w:r>
      <w:r>
        <w:rPr>
          <w:rFonts w:hint="eastAsia" w:ascii="宋体" w:hAnsi="宋体" w:cs="宋体"/>
          <w:color w:val="auto"/>
          <w:sz w:val="24"/>
          <w:szCs w:val="24"/>
          <w:highlight w:val="none"/>
        </w:rPr>
        <w:t>2026年</w:t>
      </w:r>
      <w:r>
        <w:rPr>
          <w:rFonts w:hint="eastAsia" w:ascii="宋体" w:hAnsi="宋体" w:cs="宋体"/>
          <w:color w:val="auto"/>
          <w:sz w:val="24"/>
          <w:szCs w:val="24"/>
          <w:highlight w:val="none"/>
          <w:lang w:val="en-US" w:eastAsia="zh-CN"/>
        </w:rPr>
        <w:t>06</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w:t>
      </w:r>
      <w:r>
        <w:rPr>
          <w:rFonts w:hint="eastAsia" w:ascii="宋体" w:hAnsi="宋体" w:cs="宋体"/>
          <w:color w:val="auto"/>
          <w:sz w:val="24"/>
          <w:szCs w:val="24"/>
          <w:highlight w:val="none"/>
        </w:rPr>
        <w:t>（北京时间）于</w:t>
      </w:r>
      <w:r>
        <w:rPr>
          <w:rFonts w:hint="eastAsia" w:ascii="宋体" w:hAnsi="宋体" w:cs="宋体"/>
          <w:b/>
          <w:color w:val="auto"/>
          <w:sz w:val="24"/>
          <w:szCs w:val="24"/>
          <w:highlight w:val="none"/>
          <w:u w:val="single"/>
        </w:rPr>
        <w:t>厦门市湖里区云顶北路842号厦门市行政服务中心4楼C区开标室</w:t>
      </w:r>
      <w:r>
        <w:rPr>
          <w:rFonts w:hint="eastAsia" w:ascii="宋体" w:hAnsi="宋体" w:cs="宋体"/>
          <w:b/>
          <w:color w:val="auto"/>
          <w:sz w:val="24"/>
          <w:szCs w:val="24"/>
          <w:highlight w:val="none"/>
          <w:u w:val="single"/>
          <w:lang w:val="en-US" w:eastAsia="zh-CN"/>
        </w:rPr>
        <w:t>7</w:t>
      </w:r>
      <w:r>
        <w:rPr>
          <w:rFonts w:hint="eastAsia" w:ascii="宋体" w:hAnsi="宋体" w:cs="宋体"/>
          <w:b/>
          <w:color w:val="auto"/>
          <w:sz w:val="24"/>
          <w:szCs w:val="24"/>
          <w:highlight w:val="none"/>
          <w:u w:val="single"/>
        </w:rPr>
        <w:t>（C40</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w:t>
      </w:r>
      <w:r>
        <w:rPr>
          <w:rFonts w:hint="eastAsia" w:ascii="宋体" w:hAnsi="宋体" w:cs="宋体"/>
          <w:color w:val="auto"/>
          <w:sz w:val="24"/>
          <w:szCs w:val="24"/>
          <w:highlight w:val="none"/>
        </w:rPr>
        <w:t>进行公开开标。投标人可登陆厦门招投标网查看开标全过程。</w:t>
      </w:r>
    </w:p>
    <w:p w14:paraId="63EAD82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7、本项目</w:t>
      </w:r>
      <w:r>
        <w:rPr>
          <w:rFonts w:hint="eastAsia" w:ascii="宋体" w:hAnsi="宋体" w:cs="宋体"/>
          <w:color w:val="auto"/>
          <w:sz w:val="24"/>
          <w:szCs w:val="24"/>
          <w:highlight w:val="none"/>
        </w:rPr>
        <w:t>接受</w:t>
      </w:r>
      <w:r>
        <w:rPr>
          <w:rFonts w:hint="eastAsia" w:ascii="宋体" w:hAnsi="宋体" w:cs="宋体"/>
          <w:color w:val="auto"/>
          <w:sz w:val="24"/>
          <w:szCs w:val="24"/>
          <w:highlight w:val="none"/>
        </w:rPr>
        <w:t>联合体投标。</w:t>
      </w:r>
    </w:p>
    <w:p w14:paraId="7C13E1B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373A603F">
      <w:pPr>
        <w:spacing w:line="360" w:lineRule="auto"/>
        <w:ind w:firstLine="480" w:firstLineChars="200"/>
        <w:rPr>
          <w:rFonts w:hint="eastAsia"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76826B9A">
      <w:pPr>
        <w:spacing w:line="360" w:lineRule="auto"/>
        <w:ind w:firstLine="480" w:firstLineChars="200"/>
        <w:rPr>
          <w:rFonts w:hint="eastAsia" w:ascii="宋体" w:hAnsi="宋体" w:cs="宋体"/>
          <w:color w:val="auto"/>
          <w:sz w:val="24"/>
          <w:szCs w:val="24"/>
          <w:highlight w:val="none"/>
        </w:rPr>
      </w:pPr>
      <w:r>
        <w:rPr>
          <w:rFonts w:hint="eastAsia" w:ascii="宋体" w:hAnsi="宋体" w:cs="宋体"/>
          <w:bCs/>
          <w:color w:val="auto"/>
          <w:sz w:val="24"/>
          <w:szCs w:val="24"/>
          <w:highlight w:val="none"/>
        </w:rPr>
        <w:t>8、招标文件如有变更，</w:t>
      </w:r>
      <w:r>
        <w:rPr>
          <w:rFonts w:hint="eastAsia" w:ascii="宋体" w:hAnsi="宋体" w:cs="宋体"/>
          <w:b/>
          <w:color w:val="auto"/>
          <w:sz w:val="24"/>
          <w:szCs w:val="24"/>
          <w:highlight w:val="none"/>
          <w:u w:val="single"/>
        </w:rPr>
        <w:t>厦门万翔招标有限公司</w:t>
      </w:r>
      <w:r>
        <w:rPr>
          <w:rFonts w:hint="eastAsia" w:ascii="宋体" w:hAnsi="宋体" w:cs="宋体"/>
          <w:bCs/>
          <w:color w:val="auto"/>
          <w:sz w:val="24"/>
          <w:szCs w:val="24"/>
          <w:highlight w:val="none"/>
        </w:rPr>
        <w:t>将通过福建省政府采购网、厦门招投标网等媒体发布通知信息，请投标人关注。</w:t>
      </w:r>
      <w:r>
        <w:rPr>
          <w:rFonts w:hint="eastAsia" w:ascii="宋体" w:hAnsi="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40B911AF">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9、友情提醒：本项目全程采用网上招、投标方式进行采购，请各投标人必须按照有关规定要求在网上注册、</w:t>
      </w:r>
      <w:r>
        <w:rPr>
          <w:rStyle w:val="15"/>
          <w:rFonts w:ascii="Helvetica" w:hAnsi="Helvetica" w:eastAsia="Helvetica" w:cs="Helvetica"/>
          <w:color w:val="auto"/>
          <w:sz w:val="24"/>
          <w:szCs w:val="24"/>
          <w:highlight w:val="none"/>
          <w:shd w:val="clear" w:color="auto" w:fill="FFFFFF"/>
        </w:rPr>
        <w:t>需办理数字证书</w:t>
      </w:r>
      <w:r>
        <w:rPr>
          <w:rStyle w:val="15"/>
          <w:rFonts w:hint="eastAsia" w:ascii="Helvetica" w:hAnsi="Helvetica" w:cs="Helvetica"/>
          <w:color w:val="auto"/>
          <w:sz w:val="24"/>
          <w:szCs w:val="24"/>
          <w:highlight w:val="none"/>
          <w:shd w:val="clear" w:color="auto" w:fill="FFFFFF"/>
        </w:rPr>
        <w:t>、</w:t>
      </w:r>
      <w:r>
        <w:rPr>
          <w:rFonts w:hint="eastAsia" w:ascii="宋体" w:hAnsi="宋体" w:cs="宋体"/>
          <w:b/>
          <w:color w:val="auto"/>
          <w:sz w:val="24"/>
          <w:szCs w:val="24"/>
          <w:highlight w:val="none"/>
        </w:rPr>
        <w:t>购买招标文件和递交投标文件。</w:t>
      </w:r>
    </w:p>
    <w:p w14:paraId="111D279C">
      <w:pPr>
        <w:tabs>
          <w:tab w:val="left" w:pos="114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10、各有关联系方式</w:t>
      </w:r>
    </w:p>
    <w:tbl>
      <w:tblPr>
        <w:tblStyle w:val="12"/>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137846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vAlign w:val="center"/>
          </w:tcPr>
          <w:p w14:paraId="50F0C1BC">
            <w:pPr>
              <w:spacing w:line="360" w:lineRule="auto"/>
              <w:jc w:val="center"/>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序号</w:t>
            </w:r>
          </w:p>
        </w:tc>
        <w:tc>
          <w:tcPr>
            <w:tcW w:w="1409" w:type="dxa"/>
            <w:vAlign w:val="center"/>
          </w:tcPr>
          <w:p w14:paraId="638137A8">
            <w:pPr>
              <w:spacing w:line="360" w:lineRule="auto"/>
              <w:jc w:val="center"/>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分工</w:t>
            </w:r>
          </w:p>
        </w:tc>
        <w:tc>
          <w:tcPr>
            <w:tcW w:w="1097" w:type="dxa"/>
            <w:vAlign w:val="center"/>
          </w:tcPr>
          <w:p w14:paraId="782B6653">
            <w:pPr>
              <w:spacing w:line="360" w:lineRule="auto"/>
              <w:jc w:val="center"/>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联系人</w:t>
            </w:r>
          </w:p>
        </w:tc>
        <w:tc>
          <w:tcPr>
            <w:tcW w:w="3190" w:type="dxa"/>
            <w:vAlign w:val="center"/>
          </w:tcPr>
          <w:p w14:paraId="59C0305C">
            <w:pPr>
              <w:spacing w:line="360" w:lineRule="auto"/>
              <w:jc w:val="center"/>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职责范围</w:t>
            </w:r>
          </w:p>
        </w:tc>
        <w:tc>
          <w:tcPr>
            <w:tcW w:w="3276" w:type="dxa"/>
            <w:vAlign w:val="center"/>
          </w:tcPr>
          <w:p w14:paraId="07A5569E">
            <w:pPr>
              <w:spacing w:line="360" w:lineRule="auto"/>
              <w:jc w:val="center"/>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联系电话</w:t>
            </w:r>
          </w:p>
        </w:tc>
      </w:tr>
      <w:tr w14:paraId="64E58C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440FEE88">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409" w:type="dxa"/>
            <w:vAlign w:val="center"/>
          </w:tcPr>
          <w:p w14:paraId="1BE87060">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项目经办</w:t>
            </w:r>
          </w:p>
        </w:tc>
        <w:tc>
          <w:tcPr>
            <w:tcW w:w="1097" w:type="dxa"/>
            <w:vAlign w:val="center"/>
          </w:tcPr>
          <w:p w14:paraId="73924A7C">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徐先生、陈</w:t>
            </w:r>
            <w:r>
              <w:rPr>
                <w:rFonts w:hint="eastAsia" w:ascii="宋体" w:hAnsi="宋体" w:cs="宋体"/>
                <w:color w:val="auto"/>
                <w:kern w:val="0"/>
                <w:sz w:val="24"/>
                <w:szCs w:val="24"/>
                <w:highlight w:val="none"/>
              </w:rPr>
              <w:t>小姐</w:t>
            </w:r>
          </w:p>
        </w:tc>
        <w:tc>
          <w:tcPr>
            <w:tcW w:w="3190" w:type="dxa"/>
            <w:vAlign w:val="center"/>
          </w:tcPr>
          <w:p w14:paraId="6BB77A55">
            <w:pPr>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负责招标文件的咨询、答疑等工作</w:t>
            </w:r>
          </w:p>
        </w:tc>
        <w:tc>
          <w:tcPr>
            <w:tcW w:w="3276" w:type="dxa"/>
            <w:vAlign w:val="center"/>
          </w:tcPr>
          <w:p w14:paraId="2124CE13">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0592-</w:t>
            </w:r>
            <w:r>
              <w:rPr>
                <w:rFonts w:hint="eastAsia" w:ascii="宋体" w:hAnsi="宋体" w:cs="宋体"/>
                <w:color w:val="auto"/>
                <w:sz w:val="24"/>
                <w:szCs w:val="24"/>
                <w:highlight w:val="none"/>
                <w:lang w:val="en-US" w:eastAsia="zh-CN"/>
              </w:rPr>
              <w:t>5730600、2298129</w:t>
            </w:r>
          </w:p>
          <w:p w14:paraId="79E3BFDE">
            <w:pPr>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传真0592-5706660-6969</w:t>
            </w:r>
          </w:p>
        </w:tc>
      </w:tr>
      <w:tr w14:paraId="18EFFD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15888A34">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1409" w:type="dxa"/>
            <w:vAlign w:val="center"/>
          </w:tcPr>
          <w:p w14:paraId="7E8CB91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1097" w:type="dxa"/>
            <w:vAlign w:val="center"/>
          </w:tcPr>
          <w:p w14:paraId="3F936D9C">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陈</w:t>
            </w:r>
            <w:r>
              <w:rPr>
                <w:rFonts w:hint="eastAsia" w:ascii="宋体" w:hAnsi="宋体" w:cs="宋体"/>
                <w:color w:val="auto"/>
                <w:sz w:val="24"/>
                <w:szCs w:val="24"/>
                <w:highlight w:val="none"/>
              </w:rPr>
              <w:t>小姐</w:t>
            </w:r>
          </w:p>
        </w:tc>
        <w:tc>
          <w:tcPr>
            <w:tcW w:w="3190" w:type="dxa"/>
            <w:vAlign w:val="center"/>
          </w:tcPr>
          <w:p w14:paraId="522D1D03">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投标保证金收、退</w:t>
            </w:r>
          </w:p>
        </w:tc>
        <w:tc>
          <w:tcPr>
            <w:tcW w:w="3276" w:type="dxa"/>
            <w:vAlign w:val="center"/>
          </w:tcPr>
          <w:p w14:paraId="1689DF4B">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778093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4CBC41CF">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w:t>
            </w:r>
          </w:p>
        </w:tc>
        <w:tc>
          <w:tcPr>
            <w:tcW w:w="1409" w:type="dxa"/>
            <w:vAlign w:val="center"/>
          </w:tcPr>
          <w:p w14:paraId="6D9CDCF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代理服务费</w:t>
            </w:r>
          </w:p>
        </w:tc>
        <w:tc>
          <w:tcPr>
            <w:tcW w:w="1097" w:type="dxa"/>
            <w:vAlign w:val="center"/>
          </w:tcPr>
          <w:p w14:paraId="2C88A22C">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陈小姐</w:t>
            </w:r>
          </w:p>
        </w:tc>
        <w:tc>
          <w:tcPr>
            <w:tcW w:w="3190" w:type="dxa"/>
            <w:vAlign w:val="center"/>
          </w:tcPr>
          <w:p w14:paraId="6E4CA160">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代理服务费收取</w:t>
            </w:r>
          </w:p>
        </w:tc>
        <w:tc>
          <w:tcPr>
            <w:tcW w:w="3276" w:type="dxa"/>
            <w:vAlign w:val="center"/>
          </w:tcPr>
          <w:p w14:paraId="4B2BE67E">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5C1C43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1792CCDE">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w:t>
            </w:r>
          </w:p>
        </w:tc>
        <w:tc>
          <w:tcPr>
            <w:tcW w:w="1409" w:type="dxa"/>
            <w:vAlign w:val="center"/>
          </w:tcPr>
          <w:p w14:paraId="14793FD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监督</w:t>
            </w:r>
          </w:p>
        </w:tc>
        <w:tc>
          <w:tcPr>
            <w:tcW w:w="1097" w:type="dxa"/>
            <w:vAlign w:val="center"/>
          </w:tcPr>
          <w:p w14:paraId="1EFABFF9">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黄经理</w:t>
            </w:r>
          </w:p>
        </w:tc>
        <w:tc>
          <w:tcPr>
            <w:tcW w:w="3190" w:type="dxa"/>
            <w:vAlign w:val="center"/>
          </w:tcPr>
          <w:p w14:paraId="4C398FEF">
            <w:pPr>
              <w:spacing w:line="360" w:lineRule="auto"/>
              <w:rPr>
                <w:rFonts w:hint="eastAsia" w:ascii="宋体" w:hAnsi="宋体" w:cs="宋体"/>
                <w:color w:val="auto"/>
                <w:sz w:val="24"/>
                <w:szCs w:val="24"/>
                <w:highlight w:val="none"/>
              </w:rPr>
            </w:pPr>
            <w:r>
              <w:rPr>
                <w:rFonts w:hint="eastAsia" w:ascii="宋体" w:hAnsi="宋体" w:cs="宋体"/>
                <w:b/>
                <w:color w:val="auto"/>
                <w:sz w:val="24"/>
                <w:szCs w:val="24"/>
                <w:highlight w:val="none"/>
              </w:rPr>
              <w:t>欢迎投标人对项目采购过程中公告发布、招标文件购买、投标保证金缴交和退还、代理服务费收取、中标通知书发放等环节的服务进行监督。我们将竭诚为您提供最优质的服务。</w:t>
            </w:r>
          </w:p>
        </w:tc>
        <w:tc>
          <w:tcPr>
            <w:tcW w:w="3276" w:type="dxa"/>
            <w:vAlign w:val="center"/>
          </w:tcPr>
          <w:p w14:paraId="74A11C6B">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0592-5705656</w:t>
            </w:r>
          </w:p>
        </w:tc>
      </w:tr>
      <w:tr w14:paraId="01A4C0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7635E971">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5</w:t>
            </w:r>
          </w:p>
        </w:tc>
        <w:tc>
          <w:tcPr>
            <w:tcW w:w="1409" w:type="dxa"/>
            <w:vAlign w:val="center"/>
          </w:tcPr>
          <w:p w14:paraId="5B9AAE6C">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接收质疑</w:t>
            </w:r>
          </w:p>
        </w:tc>
        <w:tc>
          <w:tcPr>
            <w:tcW w:w="1097" w:type="dxa"/>
            <w:vAlign w:val="center"/>
          </w:tcPr>
          <w:p w14:paraId="479AD3B4">
            <w:pPr>
              <w:spacing w:line="360" w:lineRule="auto"/>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刘经理</w:t>
            </w:r>
          </w:p>
        </w:tc>
        <w:tc>
          <w:tcPr>
            <w:tcW w:w="3190" w:type="dxa"/>
            <w:vAlign w:val="center"/>
          </w:tcPr>
          <w:p w14:paraId="5782374F">
            <w:pPr>
              <w:spacing w:line="360" w:lineRule="auto"/>
              <w:rPr>
                <w:rFonts w:hint="eastAsia" w:ascii="宋体" w:hAnsi="宋体" w:cs="宋体"/>
                <w:b/>
                <w:color w:val="auto"/>
                <w:sz w:val="24"/>
                <w:szCs w:val="24"/>
                <w:highlight w:val="none"/>
              </w:rPr>
            </w:pPr>
            <w:r>
              <w:rPr>
                <w:rFonts w:hint="eastAsia" w:ascii="宋体" w:hAnsi="宋体" w:cs="宋体"/>
                <w:color w:val="auto"/>
                <w:kern w:val="0"/>
                <w:sz w:val="24"/>
                <w:szCs w:val="24"/>
                <w:highlight w:val="none"/>
              </w:rPr>
              <w:t>负责接收质疑</w:t>
            </w:r>
          </w:p>
        </w:tc>
        <w:tc>
          <w:tcPr>
            <w:tcW w:w="3276" w:type="dxa"/>
            <w:vAlign w:val="center"/>
          </w:tcPr>
          <w:p w14:paraId="7C591C74">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电话0592-2218761</w:t>
            </w:r>
          </w:p>
          <w:p w14:paraId="15D232AE">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传真0592-5706660-6969</w:t>
            </w:r>
          </w:p>
          <w:p w14:paraId="70BF7700">
            <w:pPr>
              <w:spacing w:line="360" w:lineRule="auto"/>
              <w:rPr>
                <w:rFonts w:hint="eastAsia" w:ascii="宋体" w:hAnsi="宋体" w:cs="宋体"/>
                <w:color w:val="auto"/>
                <w:sz w:val="24"/>
                <w:szCs w:val="24"/>
                <w:highlight w:val="none"/>
              </w:rPr>
            </w:pPr>
            <w:r>
              <w:rPr>
                <w:color w:val="auto"/>
                <w:highlight w:val="none"/>
              </w:rPr>
              <w:fldChar w:fldCharType="begin"/>
            </w:r>
            <w:r>
              <w:rPr>
                <w:color w:val="auto"/>
                <w:highlight w:val="none"/>
              </w:rPr>
              <w:instrText xml:space="preserve"> HYPERLINK "mailto:邮箱hcq@iport.com.cn" </w:instrText>
            </w:r>
            <w:r>
              <w:rPr>
                <w:color w:val="auto"/>
                <w:highlight w:val="none"/>
              </w:rPr>
              <w:fldChar w:fldCharType="separate"/>
            </w:r>
            <w:r>
              <w:rPr>
                <w:rFonts w:hint="eastAsia" w:ascii="宋体" w:hAnsi="宋体" w:cs="宋体"/>
                <w:color w:val="auto"/>
                <w:sz w:val="24"/>
                <w:szCs w:val="24"/>
                <w:highlight w:val="none"/>
              </w:rPr>
              <w:t>邮箱lmf@iport.com.cn</w:t>
            </w:r>
            <w:r>
              <w:rPr>
                <w:rFonts w:hint="eastAsia" w:ascii="宋体" w:hAnsi="宋体" w:cs="宋体"/>
                <w:color w:val="auto"/>
                <w:sz w:val="24"/>
                <w:szCs w:val="24"/>
                <w:highlight w:val="none"/>
              </w:rPr>
              <w:fldChar w:fldCharType="end"/>
            </w:r>
          </w:p>
          <w:p w14:paraId="4C874D83">
            <w:pPr>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通讯地址：厦门市湖里区机场北路476号4楼</w:t>
            </w:r>
          </w:p>
        </w:tc>
      </w:tr>
    </w:tbl>
    <w:p w14:paraId="2B987D7E">
      <w:pPr>
        <w:tabs>
          <w:tab w:val="left" w:pos="114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11、投标保证金及代理服务费缴交账户：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1873A5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vAlign w:val="center"/>
          </w:tcPr>
          <w:p w14:paraId="1E21E881">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类   别</w:t>
            </w:r>
          </w:p>
        </w:tc>
        <w:tc>
          <w:tcPr>
            <w:tcW w:w="3240" w:type="dxa"/>
            <w:vAlign w:val="center"/>
          </w:tcPr>
          <w:p w14:paraId="5B1B0AFA">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投标保证金缴交账户</w:t>
            </w:r>
          </w:p>
        </w:tc>
        <w:tc>
          <w:tcPr>
            <w:tcW w:w="4602" w:type="dxa"/>
            <w:vAlign w:val="center"/>
          </w:tcPr>
          <w:p w14:paraId="002B7D01">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代理服务费缴交账户</w:t>
            </w:r>
          </w:p>
        </w:tc>
      </w:tr>
      <w:tr w14:paraId="74CDF9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vAlign w:val="center"/>
          </w:tcPr>
          <w:p w14:paraId="6B34B7E5">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开 户 行</w:t>
            </w:r>
          </w:p>
        </w:tc>
        <w:tc>
          <w:tcPr>
            <w:tcW w:w="3240" w:type="dxa"/>
            <w:vAlign w:val="center"/>
          </w:tcPr>
          <w:p w14:paraId="1844A83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vAlign w:val="center"/>
          </w:tcPr>
          <w:p w14:paraId="6539FA45">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中国建设银行股份有限公司厦门自贸试验区航空港支行</w:t>
            </w:r>
          </w:p>
        </w:tc>
      </w:tr>
      <w:tr w14:paraId="5B2331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1A080056">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账    号</w:t>
            </w:r>
          </w:p>
        </w:tc>
        <w:tc>
          <w:tcPr>
            <w:tcW w:w="3240" w:type="dxa"/>
            <w:vAlign w:val="center"/>
          </w:tcPr>
          <w:p w14:paraId="746B11F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w:t>
            </w:r>
          </w:p>
        </w:tc>
        <w:tc>
          <w:tcPr>
            <w:tcW w:w="4602" w:type="dxa"/>
            <w:vAlign w:val="center"/>
          </w:tcPr>
          <w:p w14:paraId="4D5C7C7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35101570201052504219</w:t>
            </w:r>
          </w:p>
        </w:tc>
      </w:tr>
      <w:tr w14:paraId="7C5BF1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2739D845">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户名</w:t>
            </w:r>
          </w:p>
        </w:tc>
        <w:tc>
          <w:tcPr>
            <w:tcW w:w="7842" w:type="dxa"/>
            <w:gridSpan w:val="2"/>
            <w:vAlign w:val="center"/>
          </w:tcPr>
          <w:p w14:paraId="12341E7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厦门万翔招标有限公司</w:t>
            </w:r>
          </w:p>
        </w:tc>
      </w:tr>
    </w:tbl>
    <w:p w14:paraId="72367E63">
      <w:pPr>
        <w:tabs>
          <w:tab w:val="left" w:pos="1140"/>
        </w:tabs>
        <w:spacing w:line="360" w:lineRule="auto"/>
        <w:ind w:firstLine="480" w:firstLineChars="200"/>
        <w:rPr>
          <w:rFonts w:hint="eastAsia" w:ascii="宋体" w:hAnsi="宋体" w:cs="宋体"/>
          <w:color w:val="auto"/>
          <w:sz w:val="24"/>
          <w:szCs w:val="24"/>
          <w:highlight w:val="none"/>
        </w:rPr>
      </w:pPr>
    </w:p>
    <w:p w14:paraId="6CA630B9">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注：投标人须将相关的费用缴交至上表对应的账号，缴错账号而产生的一切后果由投标人自行承担。</w:t>
      </w:r>
    </w:p>
    <w:p w14:paraId="70F391D8">
      <w:pPr>
        <w:numPr>
          <w:ilvl w:val="255"/>
          <w:numId w:val="0"/>
        </w:num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12、注意事项：</w:t>
      </w:r>
    </w:p>
    <w:p w14:paraId="0E71E4D9">
      <w:pPr>
        <w:widowControl/>
        <w:tabs>
          <w:tab w:val="left" w:pos="-1080"/>
          <w:tab w:val="left" w:pos="180"/>
          <w:tab w:val="left" w:pos="108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项目中标供应商服务费发票将以邮件方式发送至购标指定邮箱。</w:t>
      </w:r>
    </w:p>
    <w:p w14:paraId="483D5E05">
      <w:pPr>
        <w:numPr>
          <w:ilvl w:val="255"/>
          <w:numId w:val="0"/>
        </w:numPr>
        <w:spacing w:line="360" w:lineRule="auto"/>
        <w:ind w:firstLine="0" w:firstLineChars="0"/>
        <w:rPr>
          <w:rFonts w:hint="eastAsia" w:ascii="宋体" w:hAnsi="宋体" w:cs="宋体"/>
          <w:color w:val="auto"/>
          <w:sz w:val="24"/>
          <w:szCs w:val="24"/>
          <w:highlight w:val="none"/>
        </w:rPr>
      </w:pPr>
    </w:p>
    <w:p w14:paraId="425BB69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招标代理机构：厦门万翔招标有限公司 </w:t>
      </w:r>
    </w:p>
    <w:p w14:paraId="326E02AA">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址：厦门市湖里区机场北路476号四楼 </w:t>
      </w:r>
    </w:p>
    <w:p w14:paraId="2A37D964">
      <w:pPr>
        <w:tabs>
          <w:tab w:val="left" w:pos="2775"/>
        </w:tabs>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邮  编： 361006</w:t>
      </w:r>
    </w:p>
    <w:p w14:paraId="23323048">
      <w:pP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合同款项事宜联系人：</w:t>
      </w:r>
      <w:r>
        <w:rPr>
          <w:rFonts w:hint="eastAsia" w:ascii="宋体" w:hAnsi="宋体" w:cs="宋体"/>
          <w:color w:val="auto"/>
          <w:kern w:val="0"/>
          <w:sz w:val="24"/>
          <w:szCs w:val="24"/>
          <w:highlight w:val="none"/>
        </w:rPr>
        <w:t>黄春兰0592-5777279</w:t>
      </w:r>
    </w:p>
    <w:p w14:paraId="6B7EAA6B">
      <w:pPr>
        <w:tabs>
          <w:tab w:val="left" w:pos="2775"/>
        </w:tabs>
        <w:spacing w:line="360" w:lineRule="auto"/>
        <w:ind w:firstLine="480"/>
        <w:rPr>
          <w:rFonts w:hint="eastAsia" w:ascii="宋体" w:hAnsi="宋体" w:cs="宋体"/>
          <w:color w:val="auto"/>
          <w:sz w:val="24"/>
          <w:szCs w:val="24"/>
          <w:highlight w:val="none"/>
        </w:rPr>
      </w:pPr>
    </w:p>
    <w:p w14:paraId="1E264452">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61333CBD">
      <w:pPr>
        <w:spacing w:line="360" w:lineRule="auto"/>
        <w:rPr>
          <w:rFonts w:hint="eastAsia" w:ascii="宋体" w:hAnsi="宋体" w:cs="宋体"/>
          <w:color w:val="auto"/>
          <w:sz w:val="24"/>
          <w:szCs w:val="24"/>
          <w:highlight w:val="none"/>
        </w:rPr>
      </w:pPr>
    </w:p>
    <w:p w14:paraId="28472888">
      <w:pPr>
        <w:spacing w:line="360" w:lineRule="auto"/>
        <w:rPr>
          <w:rFonts w:hint="eastAsia" w:ascii="宋体" w:hAnsi="宋体" w:cs="宋体"/>
          <w:color w:val="auto"/>
          <w:sz w:val="24"/>
          <w:szCs w:val="24"/>
          <w:highlight w:val="none"/>
        </w:rPr>
      </w:pPr>
    </w:p>
    <w:p w14:paraId="145D3D4D">
      <w:pPr>
        <w:spacing w:line="360" w:lineRule="auto"/>
        <w:rPr>
          <w:rFonts w:hint="eastAsia" w:ascii="宋体" w:hAnsi="宋体" w:cs="宋体"/>
          <w:color w:val="auto"/>
          <w:sz w:val="24"/>
          <w:szCs w:val="24"/>
          <w:highlight w:val="none"/>
        </w:rPr>
      </w:pPr>
    </w:p>
    <w:p w14:paraId="5D17BFF4">
      <w:pPr>
        <w:spacing w:line="360" w:lineRule="auto"/>
        <w:rPr>
          <w:rFonts w:hint="eastAsia" w:ascii="宋体" w:hAnsi="宋体" w:cs="宋体"/>
          <w:color w:val="auto"/>
          <w:sz w:val="24"/>
          <w:szCs w:val="24"/>
          <w:highlight w:val="none"/>
        </w:rPr>
      </w:pPr>
    </w:p>
    <w:p w14:paraId="62EA660E">
      <w:pPr>
        <w:spacing w:line="360" w:lineRule="auto"/>
        <w:rPr>
          <w:rFonts w:hint="eastAsia" w:ascii="宋体" w:hAnsi="宋体" w:cs="宋体"/>
          <w:color w:val="auto"/>
          <w:sz w:val="24"/>
          <w:szCs w:val="24"/>
          <w:highlight w:val="none"/>
        </w:rPr>
      </w:pPr>
    </w:p>
    <w:p w14:paraId="5BF3A391">
      <w:pPr>
        <w:spacing w:line="360" w:lineRule="auto"/>
        <w:rPr>
          <w:rFonts w:hint="eastAsia" w:ascii="宋体" w:hAnsi="宋体" w:cs="宋体"/>
          <w:color w:val="auto"/>
          <w:sz w:val="24"/>
          <w:szCs w:val="24"/>
          <w:highlight w:val="none"/>
        </w:rPr>
      </w:pPr>
    </w:p>
    <w:p w14:paraId="7D8959A7">
      <w:pPr>
        <w:spacing w:line="360" w:lineRule="auto"/>
        <w:rPr>
          <w:rFonts w:hint="eastAsia" w:ascii="宋体" w:hAnsi="宋体" w:cs="宋体"/>
          <w:color w:val="auto"/>
          <w:sz w:val="24"/>
          <w:szCs w:val="24"/>
          <w:highlight w:val="none"/>
        </w:rPr>
      </w:pPr>
    </w:p>
    <w:p w14:paraId="475B68AE">
      <w:pPr>
        <w:spacing w:line="360" w:lineRule="auto"/>
        <w:rPr>
          <w:rFonts w:hint="eastAsia" w:ascii="宋体" w:hAnsi="宋体" w:cs="宋体"/>
          <w:color w:val="auto"/>
          <w:sz w:val="24"/>
          <w:szCs w:val="24"/>
          <w:highlight w:val="none"/>
        </w:rPr>
      </w:pPr>
    </w:p>
    <w:p w14:paraId="7F3B2A3D">
      <w:pPr>
        <w:spacing w:line="360" w:lineRule="auto"/>
        <w:rPr>
          <w:rFonts w:hint="eastAsia" w:ascii="宋体" w:hAnsi="宋体" w:cs="宋体"/>
          <w:color w:val="auto"/>
          <w:sz w:val="24"/>
          <w:szCs w:val="24"/>
          <w:highlight w:val="none"/>
        </w:rPr>
      </w:pPr>
    </w:p>
    <w:p w14:paraId="77BAAEF4">
      <w:pPr>
        <w:spacing w:line="360" w:lineRule="auto"/>
        <w:rPr>
          <w:rFonts w:hint="eastAsia" w:ascii="宋体" w:hAnsi="宋体" w:cs="宋体"/>
          <w:color w:val="auto"/>
          <w:sz w:val="24"/>
          <w:szCs w:val="24"/>
          <w:highlight w:val="none"/>
        </w:rPr>
      </w:pPr>
    </w:p>
    <w:p w14:paraId="74625CAA">
      <w:pPr>
        <w:spacing w:line="360" w:lineRule="auto"/>
        <w:rPr>
          <w:rFonts w:hint="eastAsia" w:ascii="宋体" w:hAnsi="宋体" w:cs="宋体"/>
          <w:color w:val="auto"/>
          <w:sz w:val="24"/>
          <w:szCs w:val="24"/>
          <w:highlight w:val="none"/>
        </w:rPr>
      </w:pPr>
    </w:p>
    <w:p w14:paraId="58E85034">
      <w:pPr>
        <w:spacing w:line="360" w:lineRule="auto"/>
        <w:rPr>
          <w:rFonts w:hint="eastAsia" w:ascii="宋体" w:hAnsi="宋体" w:cs="宋体"/>
          <w:color w:val="auto"/>
          <w:sz w:val="24"/>
          <w:szCs w:val="24"/>
          <w:highlight w:val="none"/>
        </w:rPr>
      </w:pPr>
    </w:p>
    <w:p w14:paraId="66D27594">
      <w:pPr>
        <w:spacing w:line="360" w:lineRule="auto"/>
        <w:rPr>
          <w:rFonts w:hint="eastAsia" w:ascii="宋体" w:hAnsi="宋体" w:cs="宋体"/>
          <w:color w:val="auto"/>
          <w:sz w:val="24"/>
          <w:szCs w:val="24"/>
          <w:highlight w:val="none"/>
        </w:rPr>
      </w:pPr>
    </w:p>
    <w:p w14:paraId="6DD58EC1">
      <w:pPr>
        <w:spacing w:line="360" w:lineRule="auto"/>
        <w:rPr>
          <w:rFonts w:hint="eastAsia" w:ascii="宋体" w:hAnsi="宋体" w:cs="宋体"/>
          <w:color w:val="auto"/>
          <w:sz w:val="24"/>
          <w:szCs w:val="24"/>
          <w:highlight w:val="none"/>
        </w:rPr>
      </w:pPr>
    </w:p>
    <w:p w14:paraId="46615D13">
      <w:pPr>
        <w:spacing w:line="360" w:lineRule="auto"/>
        <w:rPr>
          <w:rFonts w:hint="eastAsia" w:ascii="宋体" w:hAnsi="宋体" w:cs="宋体"/>
          <w:color w:val="auto"/>
          <w:sz w:val="24"/>
          <w:szCs w:val="24"/>
          <w:highlight w:val="none"/>
        </w:rPr>
      </w:pPr>
    </w:p>
    <w:p w14:paraId="0A0DC894">
      <w:pPr>
        <w:spacing w:line="360" w:lineRule="auto"/>
        <w:rPr>
          <w:rFonts w:hint="eastAsia" w:ascii="宋体" w:hAnsi="宋体" w:cs="宋体"/>
          <w:color w:val="auto"/>
          <w:sz w:val="24"/>
          <w:szCs w:val="24"/>
          <w:highlight w:val="none"/>
        </w:rPr>
      </w:pPr>
    </w:p>
    <w:p w14:paraId="7496A5BA">
      <w:pPr>
        <w:spacing w:line="36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t>附：招标货物(服务)一览表</w:t>
      </w:r>
    </w:p>
    <w:p w14:paraId="5BD1DB47">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招标货物（服务）一览表</w:t>
      </w:r>
    </w:p>
    <w:tbl>
      <w:tblPr>
        <w:tblStyle w:val="12"/>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2027"/>
      </w:tblGrid>
      <w:tr w14:paraId="4695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ign w:val="center"/>
          </w:tcPr>
          <w:p w14:paraId="01F97335">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noWrap/>
            <w:vAlign w:val="center"/>
          </w:tcPr>
          <w:p w14:paraId="6876F974">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ign w:val="center"/>
          </w:tcPr>
          <w:p w14:paraId="116E2D93">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ign w:val="center"/>
          </w:tcPr>
          <w:p w14:paraId="5B3D8032">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r>
              <w:rPr>
                <w:rFonts w:ascii="宋体" w:hAnsi="宋体" w:eastAsia="宋体" w:cs="宋体"/>
                <w:b w:val="0"/>
                <w:bCs w:val="0"/>
                <w:color w:val="auto"/>
                <w:sz w:val="24"/>
                <w:szCs w:val="24"/>
                <w:highlight w:val="none"/>
              </w:rPr>
              <w:t>（箱）</w:t>
            </w:r>
          </w:p>
        </w:tc>
        <w:tc>
          <w:tcPr>
            <w:tcW w:w="1620" w:type="dxa"/>
            <w:tcBorders>
              <w:top w:val="single" w:color="auto" w:sz="4" w:space="0"/>
              <w:left w:val="single" w:color="auto" w:sz="4" w:space="0"/>
              <w:bottom w:val="single" w:color="auto" w:sz="4" w:space="0"/>
              <w:right w:val="single" w:color="auto" w:sz="4" w:space="0"/>
            </w:tcBorders>
            <w:noWrap/>
            <w:vAlign w:val="center"/>
          </w:tcPr>
          <w:p w14:paraId="7B551301">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noWrap/>
            <w:vAlign w:val="center"/>
          </w:tcPr>
          <w:p w14:paraId="5035CF47">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2027" w:type="dxa"/>
            <w:tcBorders>
              <w:top w:val="single" w:color="auto" w:sz="4" w:space="0"/>
              <w:left w:val="single" w:color="auto" w:sz="4" w:space="0"/>
              <w:bottom w:val="single" w:color="auto" w:sz="4" w:space="0"/>
              <w:right w:val="single" w:color="auto" w:sz="4" w:space="0"/>
            </w:tcBorders>
            <w:noWrap/>
            <w:vAlign w:val="center"/>
          </w:tcPr>
          <w:p w14:paraId="7FDF38B1">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334D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restart"/>
            <w:tcBorders>
              <w:top w:val="single" w:color="auto" w:sz="4" w:space="0"/>
              <w:left w:val="single" w:color="auto" w:sz="4" w:space="0"/>
              <w:right w:val="single" w:color="auto" w:sz="4" w:space="0"/>
            </w:tcBorders>
            <w:noWrap/>
            <w:vAlign w:val="center"/>
          </w:tcPr>
          <w:p w14:paraId="0879A48C">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XM2026-DZ0019</w:t>
            </w:r>
          </w:p>
        </w:tc>
        <w:tc>
          <w:tcPr>
            <w:tcW w:w="952" w:type="dxa"/>
            <w:tcBorders>
              <w:top w:val="single" w:color="auto" w:sz="4" w:space="0"/>
              <w:left w:val="single" w:color="auto" w:sz="4" w:space="0"/>
              <w:bottom w:val="single" w:color="auto" w:sz="4" w:space="0"/>
              <w:right w:val="single" w:color="auto" w:sz="4" w:space="0"/>
            </w:tcBorders>
            <w:noWrap/>
            <w:vAlign w:val="center"/>
          </w:tcPr>
          <w:p w14:paraId="09D6D91E">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ign w:val="center"/>
          </w:tcPr>
          <w:p w14:paraId="67345783">
            <w:pPr>
              <w:jc w:val="center"/>
              <w:rPr>
                <w:rFonts w:hint="eastAsia" w:ascii="宋体" w:hAnsi="宋体" w:cs="宋体"/>
                <w:color w:val="auto"/>
                <w:sz w:val="24"/>
                <w:szCs w:val="24"/>
                <w:highlight w:val="none"/>
              </w:rPr>
            </w:pPr>
            <w:r>
              <w:rPr>
                <w:rFonts w:hint="eastAsia"/>
                <w:color w:val="auto"/>
                <w:sz w:val="22"/>
                <w:highlight w:val="none"/>
              </w:rPr>
              <w:t>A3-70g  5包/箱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02289D53">
            <w:pPr>
              <w:widowControl/>
              <w:jc w:val="center"/>
              <w:rPr>
                <w:rFonts w:hint="eastAsia" w:ascii="宋体" w:hAnsi="宋体" w:cs="宋体"/>
                <w:color w:val="auto"/>
                <w:sz w:val="24"/>
                <w:szCs w:val="24"/>
                <w:highlight w:val="none"/>
              </w:rPr>
            </w:pPr>
            <w:r>
              <w:rPr>
                <w:rFonts w:hint="eastAsia"/>
                <w:color w:val="auto"/>
                <w:sz w:val="22"/>
                <w:highlight w:val="none"/>
              </w:rPr>
              <w:t>17423</w:t>
            </w:r>
          </w:p>
        </w:tc>
        <w:tc>
          <w:tcPr>
            <w:tcW w:w="1620" w:type="dxa"/>
            <w:vMerge w:val="restart"/>
            <w:tcBorders>
              <w:top w:val="single" w:color="auto" w:sz="4" w:space="0"/>
              <w:left w:val="single" w:color="auto" w:sz="4" w:space="0"/>
              <w:right w:val="single" w:color="auto" w:sz="4" w:space="0"/>
            </w:tcBorders>
            <w:noWrap/>
            <w:vAlign w:val="center"/>
          </w:tcPr>
          <w:p w14:paraId="5322AA8C">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vMerge w:val="restart"/>
            <w:tcBorders>
              <w:top w:val="single" w:color="auto" w:sz="4" w:space="0"/>
              <w:left w:val="single" w:color="auto" w:sz="4" w:space="0"/>
              <w:right w:val="single" w:color="auto" w:sz="4" w:space="0"/>
            </w:tcBorders>
            <w:noWrap/>
            <w:vAlign w:val="center"/>
          </w:tcPr>
          <w:p w14:paraId="1852F59C">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2027" w:type="dxa"/>
            <w:vMerge w:val="restart"/>
            <w:tcBorders>
              <w:top w:val="single" w:color="auto" w:sz="4" w:space="0"/>
              <w:left w:val="single" w:color="auto" w:sz="4" w:space="0"/>
              <w:right w:val="single" w:color="auto" w:sz="4" w:space="0"/>
            </w:tcBorders>
            <w:noWrap/>
            <w:vAlign w:val="center"/>
          </w:tcPr>
          <w:p w14:paraId="61636119">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厦门市政府机关事业单位和福建省内其他终端用户</w:t>
            </w:r>
          </w:p>
        </w:tc>
      </w:tr>
      <w:tr w14:paraId="691E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4" w:hRule="atLeast"/>
        </w:trPr>
        <w:tc>
          <w:tcPr>
            <w:tcW w:w="1218" w:type="dxa"/>
            <w:vMerge w:val="continue"/>
            <w:tcBorders>
              <w:left w:val="single" w:color="auto" w:sz="4" w:space="0"/>
              <w:right w:val="single" w:color="auto" w:sz="4" w:space="0"/>
            </w:tcBorders>
            <w:noWrap/>
            <w:vAlign w:val="center"/>
          </w:tcPr>
          <w:p w14:paraId="1E74E56F">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19159257">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1-2</w:t>
            </w:r>
          </w:p>
        </w:tc>
        <w:tc>
          <w:tcPr>
            <w:tcW w:w="1716" w:type="dxa"/>
            <w:tcBorders>
              <w:top w:val="single" w:color="auto" w:sz="4" w:space="0"/>
              <w:left w:val="single" w:color="auto" w:sz="4" w:space="0"/>
              <w:bottom w:val="single" w:color="auto" w:sz="4" w:space="0"/>
              <w:right w:val="single" w:color="auto" w:sz="4" w:space="0"/>
            </w:tcBorders>
            <w:noWrap/>
            <w:vAlign w:val="center"/>
          </w:tcPr>
          <w:p w14:paraId="2868ACD4">
            <w:pPr>
              <w:jc w:val="center"/>
              <w:rPr>
                <w:rFonts w:hint="eastAsia" w:ascii="宋体" w:hAnsi="宋体" w:cs="宋体"/>
                <w:color w:val="auto"/>
                <w:sz w:val="24"/>
                <w:szCs w:val="24"/>
                <w:highlight w:val="none"/>
              </w:rPr>
            </w:pPr>
            <w:r>
              <w:rPr>
                <w:rFonts w:hint="eastAsia"/>
                <w:color w:val="auto"/>
                <w:sz w:val="22"/>
                <w:highlight w:val="none"/>
              </w:rPr>
              <w:t>A3-80g 5包/箱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52D34A93">
            <w:pPr>
              <w:jc w:val="center"/>
              <w:rPr>
                <w:rFonts w:hint="eastAsia" w:ascii="宋体" w:hAnsi="宋体" w:cs="宋体"/>
                <w:color w:val="auto"/>
                <w:sz w:val="24"/>
                <w:szCs w:val="24"/>
                <w:highlight w:val="none"/>
              </w:rPr>
            </w:pPr>
            <w:r>
              <w:rPr>
                <w:rFonts w:hint="eastAsia"/>
                <w:color w:val="auto"/>
                <w:sz w:val="22"/>
                <w:highlight w:val="none"/>
              </w:rPr>
              <w:t>8698</w:t>
            </w:r>
          </w:p>
        </w:tc>
        <w:tc>
          <w:tcPr>
            <w:tcW w:w="1620" w:type="dxa"/>
            <w:vMerge w:val="continue"/>
            <w:tcBorders>
              <w:left w:val="single" w:color="auto" w:sz="4" w:space="0"/>
              <w:right w:val="single" w:color="auto" w:sz="4" w:space="0"/>
            </w:tcBorders>
            <w:noWrap/>
            <w:vAlign w:val="center"/>
          </w:tcPr>
          <w:p w14:paraId="042522B1">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31F64F3A">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0B82A721">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2DBC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90" w:hRule="atLeast"/>
        </w:trPr>
        <w:tc>
          <w:tcPr>
            <w:tcW w:w="1218" w:type="dxa"/>
            <w:vMerge w:val="continue"/>
            <w:tcBorders>
              <w:left w:val="single" w:color="auto" w:sz="4" w:space="0"/>
              <w:right w:val="single" w:color="auto" w:sz="4" w:space="0"/>
            </w:tcBorders>
            <w:noWrap/>
            <w:vAlign w:val="center"/>
          </w:tcPr>
          <w:p w14:paraId="63292B52">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13930367">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1-3</w:t>
            </w:r>
          </w:p>
        </w:tc>
        <w:tc>
          <w:tcPr>
            <w:tcW w:w="1716" w:type="dxa"/>
            <w:tcBorders>
              <w:top w:val="single" w:color="auto" w:sz="4" w:space="0"/>
              <w:left w:val="single" w:color="auto" w:sz="4" w:space="0"/>
              <w:bottom w:val="single" w:color="auto" w:sz="4" w:space="0"/>
              <w:right w:val="single" w:color="auto" w:sz="4" w:space="0"/>
            </w:tcBorders>
            <w:noWrap/>
            <w:vAlign w:val="center"/>
          </w:tcPr>
          <w:p w14:paraId="435973D4">
            <w:pPr>
              <w:jc w:val="center"/>
              <w:rPr>
                <w:rFonts w:hint="eastAsia" w:ascii="宋体" w:hAnsi="宋体" w:cs="宋体"/>
                <w:color w:val="auto"/>
                <w:sz w:val="24"/>
                <w:szCs w:val="24"/>
                <w:highlight w:val="none"/>
              </w:rPr>
            </w:pPr>
            <w:r>
              <w:rPr>
                <w:rFonts w:hint="eastAsia"/>
                <w:color w:val="auto"/>
                <w:sz w:val="22"/>
                <w:highlight w:val="none"/>
              </w:rPr>
              <w:t>A4-70g 10包/箱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680D3B77">
            <w:pPr>
              <w:jc w:val="center"/>
              <w:rPr>
                <w:rFonts w:hint="eastAsia" w:ascii="宋体" w:hAnsi="宋体" w:cs="宋体"/>
                <w:color w:val="auto"/>
                <w:sz w:val="24"/>
                <w:szCs w:val="24"/>
                <w:highlight w:val="none"/>
              </w:rPr>
            </w:pPr>
            <w:r>
              <w:rPr>
                <w:rFonts w:hint="eastAsia"/>
                <w:color w:val="auto"/>
                <w:sz w:val="22"/>
                <w:highlight w:val="none"/>
              </w:rPr>
              <w:t>65968</w:t>
            </w:r>
          </w:p>
        </w:tc>
        <w:tc>
          <w:tcPr>
            <w:tcW w:w="1620" w:type="dxa"/>
            <w:vMerge w:val="continue"/>
            <w:tcBorders>
              <w:left w:val="single" w:color="auto" w:sz="4" w:space="0"/>
              <w:right w:val="single" w:color="auto" w:sz="4" w:space="0"/>
            </w:tcBorders>
            <w:noWrap/>
            <w:vAlign w:val="center"/>
          </w:tcPr>
          <w:p w14:paraId="08F6060F">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31A7744F">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1EB676A4">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78AA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50419A25">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049EA11F">
            <w:pPr>
              <w:pStyle w:val="4"/>
              <w:tabs>
                <w:tab w:val="left" w:pos="8360"/>
              </w:tabs>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1-4</w:t>
            </w:r>
          </w:p>
        </w:tc>
        <w:tc>
          <w:tcPr>
            <w:tcW w:w="1716" w:type="dxa"/>
            <w:tcBorders>
              <w:top w:val="single" w:color="auto" w:sz="4" w:space="0"/>
              <w:left w:val="single" w:color="auto" w:sz="4" w:space="0"/>
              <w:bottom w:val="single" w:color="auto" w:sz="4" w:space="0"/>
              <w:right w:val="single" w:color="auto" w:sz="4" w:space="0"/>
            </w:tcBorders>
            <w:noWrap/>
            <w:vAlign w:val="center"/>
          </w:tcPr>
          <w:p w14:paraId="3959FA45">
            <w:pPr>
              <w:jc w:val="center"/>
              <w:rPr>
                <w:rFonts w:hint="eastAsia" w:ascii="宋体" w:hAnsi="宋体" w:cs="宋体"/>
                <w:color w:val="auto"/>
                <w:sz w:val="24"/>
                <w:szCs w:val="24"/>
                <w:highlight w:val="none"/>
              </w:rPr>
            </w:pPr>
            <w:r>
              <w:rPr>
                <w:rFonts w:hint="eastAsia"/>
                <w:color w:val="auto"/>
                <w:sz w:val="22"/>
                <w:highlight w:val="none"/>
              </w:rPr>
              <w:t>A4-80g 10包/箱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58FF41CF">
            <w:pPr>
              <w:jc w:val="center"/>
              <w:rPr>
                <w:rFonts w:hint="eastAsia" w:ascii="宋体" w:hAnsi="宋体" w:cs="宋体"/>
                <w:color w:val="auto"/>
                <w:sz w:val="24"/>
                <w:szCs w:val="24"/>
                <w:highlight w:val="none"/>
              </w:rPr>
            </w:pPr>
            <w:r>
              <w:rPr>
                <w:rFonts w:hint="eastAsia"/>
                <w:color w:val="auto"/>
                <w:sz w:val="22"/>
                <w:highlight w:val="none"/>
              </w:rPr>
              <w:t>45247</w:t>
            </w:r>
          </w:p>
        </w:tc>
        <w:tc>
          <w:tcPr>
            <w:tcW w:w="1620" w:type="dxa"/>
            <w:vMerge w:val="continue"/>
            <w:tcBorders>
              <w:left w:val="single" w:color="auto" w:sz="4" w:space="0"/>
              <w:right w:val="single" w:color="auto" w:sz="4" w:space="0"/>
            </w:tcBorders>
            <w:noWrap/>
            <w:vAlign w:val="center"/>
          </w:tcPr>
          <w:p w14:paraId="5E383760">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336A81EF">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3E695304">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158B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5E291A1B">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1F9882E9">
            <w:pPr>
              <w:widowControl/>
              <w:jc w:val="center"/>
              <w:rPr>
                <w:rFonts w:hint="eastAsia" w:ascii="宋体" w:hAnsi="宋体" w:cs="宋体"/>
                <w:color w:val="auto"/>
                <w:sz w:val="24"/>
                <w:szCs w:val="24"/>
                <w:highlight w:val="none"/>
              </w:rPr>
            </w:pPr>
            <w:r>
              <w:rPr>
                <w:rFonts w:hint="eastAsia" w:ascii="宋体" w:hAnsi="宋体" w:cs="宋体"/>
                <w:color w:val="auto"/>
                <w:kern w:val="0"/>
                <w:szCs w:val="21"/>
                <w:highlight w:val="none"/>
              </w:rPr>
              <w:t>1-5</w:t>
            </w:r>
          </w:p>
        </w:tc>
        <w:tc>
          <w:tcPr>
            <w:tcW w:w="1716" w:type="dxa"/>
            <w:tcBorders>
              <w:top w:val="single" w:color="auto" w:sz="4" w:space="0"/>
              <w:left w:val="single" w:color="auto" w:sz="4" w:space="0"/>
              <w:bottom w:val="single" w:color="auto" w:sz="4" w:space="0"/>
              <w:right w:val="single" w:color="auto" w:sz="4" w:space="0"/>
            </w:tcBorders>
            <w:noWrap/>
            <w:vAlign w:val="center"/>
          </w:tcPr>
          <w:p w14:paraId="709E1900">
            <w:pPr>
              <w:jc w:val="center"/>
              <w:rPr>
                <w:rFonts w:hint="eastAsia" w:asciiTheme="minorEastAsia" w:hAnsiTheme="minorEastAsia"/>
                <w:color w:val="auto"/>
                <w:sz w:val="24"/>
                <w:szCs w:val="24"/>
                <w:highlight w:val="none"/>
              </w:rPr>
            </w:pPr>
            <w:r>
              <w:rPr>
                <w:rFonts w:hint="eastAsia"/>
                <w:color w:val="auto"/>
                <w:sz w:val="22"/>
                <w:highlight w:val="none"/>
              </w:rPr>
              <w:t>8K-70g 4包/箱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7AC057BA">
            <w:pPr>
              <w:jc w:val="center"/>
              <w:rPr>
                <w:rFonts w:hint="eastAsia" w:asciiTheme="minorEastAsia" w:hAnsiTheme="minorEastAsia"/>
                <w:color w:val="auto"/>
                <w:sz w:val="24"/>
                <w:szCs w:val="24"/>
                <w:highlight w:val="none"/>
              </w:rPr>
            </w:pPr>
            <w:r>
              <w:rPr>
                <w:rFonts w:hint="eastAsia"/>
                <w:color w:val="auto"/>
                <w:sz w:val="22"/>
                <w:highlight w:val="none"/>
              </w:rPr>
              <w:t>115151</w:t>
            </w:r>
          </w:p>
        </w:tc>
        <w:tc>
          <w:tcPr>
            <w:tcW w:w="1620" w:type="dxa"/>
            <w:vMerge w:val="continue"/>
            <w:tcBorders>
              <w:left w:val="single" w:color="auto" w:sz="4" w:space="0"/>
              <w:right w:val="single" w:color="auto" w:sz="4" w:space="0"/>
            </w:tcBorders>
            <w:noWrap/>
            <w:vAlign w:val="center"/>
          </w:tcPr>
          <w:p w14:paraId="38692FD6">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11FFC833">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452E1D69">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0641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51B79B2D">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1CEE7FD4">
            <w:pPr>
              <w:widowControl/>
              <w:jc w:val="center"/>
              <w:rPr>
                <w:rFonts w:hint="eastAsia" w:ascii="宋体" w:hAnsi="宋体" w:cs="宋体"/>
                <w:color w:val="auto"/>
                <w:sz w:val="24"/>
                <w:szCs w:val="24"/>
                <w:highlight w:val="none"/>
              </w:rPr>
            </w:pPr>
            <w:r>
              <w:rPr>
                <w:rFonts w:hint="eastAsia" w:ascii="宋体" w:hAnsi="宋体" w:cs="宋体"/>
                <w:color w:val="auto"/>
                <w:kern w:val="0"/>
                <w:szCs w:val="21"/>
                <w:highlight w:val="none"/>
              </w:rPr>
              <w:t>1-6</w:t>
            </w:r>
          </w:p>
        </w:tc>
        <w:tc>
          <w:tcPr>
            <w:tcW w:w="1716" w:type="dxa"/>
            <w:tcBorders>
              <w:top w:val="single" w:color="auto" w:sz="4" w:space="0"/>
              <w:left w:val="single" w:color="auto" w:sz="4" w:space="0"/>
              <w:bottom w:val="single" w:color="auto" w:sz="4" w:space="0"/>
              <w:right w:val="single" w:color="auto" w:sz="4" w:space="0"/>
            </w:tcBorders>
            <w:noWrap/>
            <w:vAlign w:val="center"/>
          </w:tcPr>
          <w:p w14:paraId="03FB7CC3">
            <w:pPr>
              <w:jc w:val="center"/>
              <w:rPr>
                <w:rFonts w:hint="eastAsia" w:asciiTheme="minorEastAsia" w:hAnsiTheme="minorEastAsia"/>
                <w:color w:val="auto"/>
                <w:sz w:val="24"/>
                <w:szCs w:val="24"/>
                <w:highlight w:val="none"/>
              </w:rPr>
            </w:pPr>
            <w:r>
              <w:rPr>
                <w:rFonts w:hint="eastAsia"/>
                <w:color w:val="auto"/>
                <w:sz w:val="22"/>
                <w:highlight w:val="none"/>
              </w:rPr>
              <w:t>8K-80g 4包/箱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0A832A9B">
            <w:pPr>
              <w:jc w:val="center"/>
              <w:rPr>
                <w:rFonts w:hint="eastAsia" w:asciiTheme="minorEastAsia" w:hAnsiTheme="minorEastAsia"/>
                <w:color w:val="auto"/>
                <w:sz w:val="24"/>
                <w:szCs w:val="24"/>
                <w:highlight w:val="none"/>
              </w:rPr>
            </w:pPr>
            <w:r>
              <w:rPr>
                <w:rFonts w:hint="eastAsia"/>
                <w:color w:val="auto"/>
                <w:sz w:val="22"/>
                <w:highlight w:val="none"/>
              </w:rPr>
              <w:t>7501</w:t>
            </w:r>
          </w:p>
        </w:tc>
        <w:tc>
          <w:tcPr>
            <w:tcW w:w="1620" w:type="dxa"/>
            <w:vMerge w:val="continue"/>
            <w:tcBorders>
              <w:left w:val="single" w:color="auto" w:sz="4" w:space="0"/>
              <w:right w:val="single" w:color="auto" w:sz="4" w:space="0"/>
            </w:tcBorders>
            <w:noWrap/>
            <w:vAlign w:val="center"/>
          </w:tcPr>
          <w:p w14:paraId="55C169A9">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1F120199">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5E28C10F">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72F2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1CE410B5">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27C322AA">
            <w:pPr>
              <w:widowControl/>
              <w:jc w:val="center"/>
              <w:rPr>
                <w:rFonts w:hint="eastAsia" w:ascii="宋体" w:hAnsi="宋体" w:cs="宋体"/>
                <w:color w:val="auto"/>
                <w:sz w:val="24"/>
                <w:szCs w:val="24"/>
                <w:highlight w:val="none"/>
              </w:rPr>
            </w:pPr>
            <w:r>
              <w:rPr>
                <w:rFonts w:hint="eastAsia" w:ascii="宋体" w:hAnsi="宋体" w:cs="宋体"/>
                <w:color w:val="auto"/>
                <w:kern w:val="0"/>
                <w:szCs w:val="21"/>
                <w:highlight w:val="none"/>
              </w:rPr>
              <w:t>1-7</w:t>
            </w:r>
          </w:p>
        </w:tc>
        <w:tc>
          <w:tcPr>
            <w:tcW w:w="1716" w:type="dxa"/>
            <w:tcBorders>
              <w:top w:val="single" w:color="auto" w:sz="4" w:space="0"/>
              <w:left w:val="single" w:color="auto" w:sz="4" w:space="0"/>
              <w:bottom w:val="single" w:color="auto" w:sz="4" w:space="0"/>
              <w:right w:val="single" w:color="auto" w:sz="4" w:space="0"/>
            </w:tcBorders>
            <w:noWrap/>
            <w:vAlign w:val="center"/>
          </w:tcPr>
          <w:p w14:paraId="07E0C3B0">
            <w:pPr>
              <w:jc w:val="center"/>
              <w:rPr>
                <w:rFonts w:hint="eastAsia" w:asciiTheme="minorEastAsia" w:hAnsiTheme="minorEastAsia"/>
                <w:color w:val="auto"/>
                <w:sz w:val="24"/>
                <w:szCs w:val="24"/>
                <w:highlight w:val="none"/>
              </w:rPr>
            </w:pPr>
            <w:r>
              <w:rPr>
                <w:rFonts w:hint="eastAsia"/>
                <w:color w:val="auto"/>
                <w:sz w:val="22"/>
                <w:highlight w:val="none"/>
              </w:rPr>
              <w:t>16K-70g 8包/箱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2617DE92">
            <w:pPr>
              <w:jc w:val="center"/>
              <w:rPr>
                <w:rFonts w:hint="eastAsia" w:asciiTheme="minorEastAsia" w:hAnsiTheme="minorEastAsia"/>
                <w:color w:val="auto"/>
                <w:sz w:val="24"/>
                <w:szCs w:val="24"/>
                <w:highlight w:val="none"/>
              </w:rPr>
            </w:pPr>
            <w:r>
              <w:rPr>
                <w:rFonts w:hint="eastAsia"/>
                <w:color w:val="auto"/>
                <w:sz w:val="22"/>
                <w:highlight w:val="none"/>
              </w:rPr>
              <w:t>3670</w:t>
            </w:r>
          </w:p>
        </w:tc>
        <w:tc>
          <w:tcPr>
            <w:tcW w:w="1620" w:type="dxa"/>
            <w:vMerge w:val="continue"/>
            <w:tcBorders>
              <w:left w:val="single" w:color="auto" w:sz="4" w:space="0"/>
              <w:right w:val="single" w:color="auto" w:sz="4" w:space="0"/>
            </w:tcBorders>
            <w:noWrap/>
            <w:vAlign w:val="center"/>
          </w:tcPr>
          <w:p w14:paraId="469EA3D3">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21B12C69">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6E7CC4B3">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5BD6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17CBB7DF">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74A5F3F9">
            <w:pPr>
              <w:widowControl/>
              <w:jc w:val="center"/>
              <w:rPr>
                <w:rFonts w:hint="eastAsia" w:ascii="宋体" w:hAnsi="宋体" w:cs="宋体"/>
                <w:color w:val="auto"/>
                <w:sz w:val="24"/>
                <w:szCs w:val="24"/>
                <w:highlight w:val="none"/>
              </w:rPr>
            </w:pPr>
            <w:r>
              <w:rPr>
                <w:rFonts w:hint="eastAsia" w:ascii="宋体" w:hAnsi="宋体" w:cs="宋体"/>
                <w:color w:val="auto"/>
                <w:kern w:val="0"/>
                <w:szCs w:val="21"/>
                <w:highlight w:val="none"/>
              </w:rPr>
              <w:t>1-8</w:t>
            </w:r>
          </w:p>
        </w:tc>
        <w:tc>
          <w:tcPr>
            <w:tcW w:w="1716" w:type="dxa"/>
            <w:tcBorders>
              <w:top w:val="single" w:color="auto" w:sz="4" w:space="0"/>
              <w:left w:val="single" w:color="auto" w:sz="4" w:space="0"/>
              <w:bottom w:val="single" w:color="auto" w:sz="4" w:space="0"/>
              <w:right w:val="single" w:color="auto" w:sz="4" w:space="0"/>
            </w:tcBorders>
            <w:noWrap/>
            <w:vAlign w:val="center"/>
          </w:tcPr>
          <w:p w14:paraId="129E8809">
            <w:pPr>
              <w:jc w:val="center"/>
              <w:rPr>
                <w:rFonts w:hint="eastAsia" w:asciiTheme="minorEastAsia" w:hAnsiTheme="minorEastAsia"/>
                <w:color w:val="auto"/>
                <w:sz w:val="24"/>
                <w:szCs w:val="24"/>
                <w:highlight w:val="none"/>
              </w:rPr>
            </w:pPr>
            <w:r>
              <w:rPr>
                <w:rFonts w:hint="eastAsia"/>
                <w:color w:val="auto"/>
                <w:sz w:val="22"/>
                <w:highlight w:val="none"/>
              </w:rPr>
              <w:t>16K-80g 8包/箱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0DFACAA1">
            <w:pPr>
              <w:jc w:val="center"/>
              <w:rPr>
                <w:rFonts w:hint="eastAsia" w:asciiTheme="minorEastAsia" w:hAnsiTheme="minorEastAsia"/>
                <w:color w:val="auto"/>
                <w:sz w:val="24"/>
                <w:szCs w:val="24"/>
                <w:highlight w:val="none"/>
              </w:rPr>
            </w:pPr>
            <w:r>
              <w:rPr>
                <w:rFonts w:hint="eastAsia"/>
                <w:color w:val="auto"/>
                <w:sz w:val="22"/>
                <w:highlight w:val="none"/>
              </w:rPr>
              <w:t>452</w:t>
            </w:r>
          </w:p>
        </w:tc>
        <w:tc>
          <w:tcPr>
            <w:tcW w:w="1620" w:type="dxa"/>
            <w:vMerge w:val="continue"/>
            <w:tcBorders>
              <w:left w:val="single" w:color="auto" w:sz="4" w:space="0"/>
              <w:right w:val="single" w:color="auto" w:sz="4" w:space="0"/>
            </w:tcBorders>
            <w:noWrap/>
            <w:vAlign w:val="center"/>
          </w:tcPr>
          <w:p w14:paraId="16BD238B">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5B84DCE4">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181B7B43">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75010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571B4E9B">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185DACF2">
            <w:pPr>
              <w:widowControl/>
              <w:jc w:val="center"/>
              <w:rPr>
                <w:rFonts w:hint="eastAsia" w:ascii="宋体" w:hAnsi="宋体" w:cs="宋体"/>
                <w:color w:val="auto"/>
                <w:sz w:val="24"/>
                <w:szCs w:val="24"/>
                <w:highlight w:val="none"/>
              </w:rPr>
            </w:pPr>
            <w:r>
              <w:rPr>
                <w:rFonts w:hint="eastAsia" w:ascii="宋体" w:hAnsi="宋体" w:cs="宋体"/>
                <w:color w:val="auto"/>
                <w:kern w:val="0"/>
                <w:szCs w:val="21"/>
                <w:highlight w:val="none"/>
              </w:rPr>
              <w:t>1-9</w:t>
            </w:r>
          </w:p>
        </w:tc>
        <w:tc>
          <w:tcPr>
            <w:tcW w:w="1716" w:type="dxa"/>
            <w:tcBorders>
              <w:top w:val="single" w:color="auto" w:sz="4" w:space="0"/>
              <w:left w:val="single" w:color="auto" w:sz="4" w:space="0"/>
              <w:bottom w:val="single" w:color="auto" w:sz="4" w:space="0"/>
              <w:right w:val="single" w:color="auto" w:sz="4" w:space="0"/>
            </w:tcBorders>
            <w:noWrap/>
            <w:vAlign w:val="center"/>
          </w:tcPr>
          <w:p w14:paraId="3546B578">
            <w:pPr>
              <w:jc w:val="center"/>
              <w:rPr>
                <w:rFonts w:hint="eastAsia" w:asciiTheme="minorEastAsia" w:hAnsiTheme="minorEastAsia"/>
                <w:color w:val="auto"/>
                <w:sz w:val="24"/>
                <w:szCs w:val="24"/>
                <w:highlight w:val="none"/>
              </w:rPr>
            </w:pPr>
            <w:r>
              <w:rPr>
                <w:rFonts w:hint="eastAsia"/>
                <w:color w:val="auto"/>
                <w:sz w:val="22"/>
                <w:highlight w:val="none"/>
              </w:rPr>
              <w:t>B4-70g 4包/箱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1D95A5E7">
            <w:pPr>
              <w:jc w:val="center"/>
              <w:rPr>
                <w:rFonts w:hint="eastAsia" w:asciiTheme="minorEastAsia" w:hAnsiTheme="minorEastAsia"/>
                <w:color w:val="auto"/>
                <w:sz w:val="24"/>
                <w:szCs w:val="24"/>
                <w:highlight w:val="none"/>
              </w:rPr>
            </w:pPr>
            <w:r>
              <w:rPr>
                <w:rFonts w:hint="eastAsia"/>
                <w:color w:val="auto"/>
                <w:sz w:val="22"/>
                <w:highlight w:val="none"/>
              </w:rPr>
              <w:t>290</w:t>
            </w:r>
          </w:p>
        </w:tc>
        <w:tc>
          <w:tcPr>
            <w:tcW w:w="1620" w:type="dxa"/>
            <w:vMerge w:val="continue"/>
            <w:tcBorders>
              <w:left w:val="single" w:color="auto" w:sz="4" w:space="0"/>
              <w:right w:val="single" w:color="auto" w:sz="4" w:space="0"/>
            </w:tcBorders>
            <w:noWrap/>
            <w:vAlign w:val="center"/>
          </w:tcPr>
          <w:p w14:paraId="49E7DF9A">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1CB18D97">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64EF90B7">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6B2F3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2AD00E32">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3DC8A634">
            <w:pPr>
              <w:widowControl/>
              <w:jc w:val="center"/>
              <w:rPr>
                <w:rFonts w:hint="eastAsia" w:ascii="宋体" w:hAnsi="宋体" w:cs="宋体"/>
                <w:color w:val="auto"/>
                <w:sz w:val="24"/>
                <w:szCs w:val="24"/>
                <w:highlight w:val="none"/>
              </w:rPr>
            </w:pPr>
            <w:r>
              <w:rPr>
                <w:rFonts w:hint="eastAsia" w:ascii="宋体" w:hAnsi="宋体" w:cs="宋体"/>
                <w:color w:val="auto"/>
                <w:kern w:val="0"/>
                <w:szCs w:val="21"/>
                <w:highlight w:val="none"/>
              </w:rPr>
              <w:t>1-10</w:t>
            </w:r>
          </w:p>
        </w:tc>
        <w:tc>
          <w:tcPr>
            <w:tcW w:w="1716" w:type="dxa"/>
            <w:tcBorders>
              <w:top w:val="single" w:color="auto" w:sz="4" w:space="0"/>
              <w:left w:val="single" w:color="auto" w:sz="4" w:space="0"/>
              <w:bottom w:val="single" w:color="auto" w:sz="4" w:space="0"/>
              <w:right w:val="single" w:color="auto" w:sz="4" w:space="0"/>
            </w:tcBorders>
            <w:noWrap/>
            <w:vAlign w:val="center"/>
          </w:tcPr>
          <w:p w14:paraId="1E766877">
            <w:pPr>
              <w:jc w:val="center"/>
              <w:rPr>
                <w:rFonts w:hint="eastAsia" w:asciiTheme="minorEastAsia" w:hAnsiTheme="minorEastAsia"/>
                <w:color w:val="auto"/>
                <w:sz w:val="24"/>
                <w:szCs w:val="24"/>
                <w:highlight w:val="none"/>
              </w:rPr>
            </w:pPr>
            <w:r>
              <w:rPr>
                <w:rFonts w:hint="eastAsia"/>
                <w:color w:val="auto"/>
                <w:sz w:val="22"/>
                <w:highlight w:val="none"/>
              </w:rPr>
              <w:t>A5-70g 20包/箱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484EC5F9">
            <w:pPr>
              <w:jc w:val="center"/>
              <w:rPr>
                <w:rFonts w:hint="eastAsia" w:asciiTheme="minorEastAsia" w:hAnsiTheme="minorEastAsia"/>
                <w:color w:val="auto"/>
                <w:sz w:val="24"/>
                <w:szCs w:val="24"/>
                <w:highlight w:val="none"/>
              </w:rPr>
            </w:pPr>
            <w:r>
              <w:rPr>
                <w:rFonts w:hint="eastAsia"/>
                <w:color w:val="auto"/>
                <w:sz w:val="22"/>
                <w:highlight w:val="none"/>
              </w:rPr>
              <w:t>1600</w:t>
            </w:r>
          </w:p>
        </w:tc>
        <w:tc>
          <w:tcPr>
            <w:tcW w:w="1620" w:type="dxa"/>
            <w:vMerge w:val="continue"/>
            <w:tcBorders>
              <w:left w:val="single" w:color="auto" w:sz="4" w:space="0"/>
              <w:right w:val="single" w:color="auto" w:sz="4" w:space="0"/>
            </w:tcBorders>
            <w:noWrap/>
            <w:vAlign w:val="center"/>
          </w:tcPr>
          <w:p w14:paraId="6F607642">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7D5F1B8B">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5CC38C2B">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772E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160F04DD">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3BE583A2">
            <w:pPr>
              <w:widowControl/>
              <w:jc w:val="center"/>
              <w:rPr>
                <w:rFonts w:hint="eastAsia" w:ascii="宋体" w:hAnsi="宋体" w:cs="宋体"/>
                <w:color w:val="auto"/>
                <w:sz w:val="24"/>
                <w:szCs w:val="24"/>
                <w:highlight w:val="none"/>
              </w:rPr>
            </w:pPr>
            <w:r>
              <w:rPr>
                <w:rFonts w:hint="eastAsia" w:ascii="宋体" w:hAnsi="宋体" w:cs="宋体"/>
                <w:color w:val="auto"/>
                <w:kern w:val="0"/>
                <w:szCs w:val="21"/>
                <w:highlight w:val="none"/>
              </w:rPr>
              <w:t>1-11</w:t>
            </w:r>
          </w:p>
        </w:tc>
        <w:tc>
          <w:tcPr>
            <w:tcW w:w="1716" w:type="dxa"/>
            <w:tcBorders>
              <w:top w:val="single" w:color="auto" w:sz="4" w:space="0"/>
              <w:left w:val="single" w:color="auto" w:sz="4" w:space="0"/>
              <w:bottom w:val="single" w:color="auto" w:sz="4" w:space="0"/>
              <w:right w:val="single" w:color="auto" w:sz="4" w:space="0"/>
            </w:tcBorders>
            <w:noWrap/>
            <w:vAlign w:val="center"/>
          </w:tcPr>
          <w:p w14:paraId="258B8158">
            <w:pPr>
              <w:jc w:val="center"/>
              <w:rPr>
                <w:rFonts w:hint="eastAsia" w:asciiTheme="minorEastAsia" w:hAnsiTheme="minorEastAsia"/>
                <w:color w:val="auto"/>
                <w:sz w:val="24"/>
                <w:szCs w:val="24"/>
                <w:highlight w:val="none"/>
              </w:rPr>
            </w:pPr>
            <w:r>
              <w:rPr>
                <w:rFonts w:hint="eastAsia"/>
                <w:color w:val="auto"/>
                <w:sz w:val="22"/>
                <w:highlight w:val="none"/>
              </w:rPr>
              <w:t>A4-70g 10包/箱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20F8D3E5">
            <w:pPr>
              <w:jc w:val="center"/>
              <w:rPr>
                <w:rFonts w:hint="eastAsia" w:asciiTheme="minorEastAsia" w:hAnsiTheme="minorEastAsia"/>
                <w:color w:val="auto"/>
                <w:sz w:val="24"/>
                <w:szCs w:val="24"/>
                <w:highlight w:val="none"/>
              </w:rPr>
            </w:pPr>
            <w:r>
              <w:rPr>
                <w:rFonts w:hint="eastAsia"/>
                <w:color w:val="auto"/>
                <w:sz w:val="22"/>
                <w:highlight w:val="none"/>
              </w:rPr>
              <w:t>16000</w:t>
            </w:r>
          </w:p>
        </w:tc>
        <w:tc>
          <w:tcPr>
            <w:tcW w:w="1620" w:type="dxa"/>
            <w:vMerge w:val="continue"/>
            <w:tcBorders>
              <w:left w:val="single" w:color="auto" w:sz="4" w:space="0"/>
              <w:right w:val="single" w:color="auto" w:sz="4" w:space="0"/>
            </w:tcBorders>
            <w:noWrap/>
            <w:vAlign w:val="center"/>
          </w:tcPr>
          <w:p w14:paraId="6EFD6265">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7DC13620">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29CF5EE1">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5B9F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90" w:hRule="atLeast"/>
        </w:trPr>
        <w:tc>
          <w:tcPr>
            <w:tcW w:w="1218" w:type="dxa"/>
            <w:vMerge w:val="continue"/>
            <w:tcBorders>
              <w:left w:val="single" w:color="auto" w:sz="4" w:space="0"/>
              <w:right w:val="single" w:color="auto" w:sz="4" w:space="0"/>
            </w:tcBorders>
            <w:noWrap/>
            <w:vAlign w:val="center"/>
          </w:tcPr>
          <w:p w14:paraId="548F89FB">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7EE1C7B1">
            <w:pPr>
              <w:widowControl/>
              <w:jc w:val="center"/>
              <w:rPr>
                <w:rFonts w:hint="eastAsia" w:ascii="宋体" w:hAnsi="宋体" w:cs="宋体"/>
                <w:color w:val="auto"/>
                <w:sz w:val="24"/>
                <w:szCs w:val="24"/>
                <w:highlight w:val="none"/>
              </w:rPr>
            </w:pPr>
            <w:r>
              <w:rPr>
                <w:rFonts w:hint="eastAsia" w:ascii="宋体" w:hAnsi="宋体" w:cs="宋体"/>
                <w:color w:val="auto"/>
                <w:kern w:val="0"/>
                <w:szCs w:val="21"/>
                <w:highlight w:val="none"/>
              </w:rPr>
              <w:t>1-12</w:t>
            </w:r>
          </w:p>
        </w:tc>
        <w:tc>
          <w:tcPr>
            <w:tcW w:w="1716" w:type="dxa"/>
            <w:tcBorders>
              <w:top w:val="single" w:color="auto" w:sz="4" w:space="0"/>
              <w:left w:val="single" w:color="auto" w:sz="4" w:space="0"/>
              <w:bottom w:val="single" w:color="auto" w:sz="4" w:space="0"/>
              <w:right w:val="single" w:color="auto" w:sz="4" w:space="0"/>
            </w:tcBorders>
            <w:noWrap/>
            <w:vAlign w:val="center"/>
          </w:tcPr>
          <w:p w14:paraId="172D4130">
            <w:pPr>
              <w:jc w:val="center"/>
              <w:rPr>
                <w:rFonts w:hint="eastAsia" w:asciiTheme="minorEastAsia" w:hAnsiTheme="minorEastAsia"/>
                <w:color w:val="auto"/>
                <w:sz w:val="24"/>
                <w:szCs w:val="24"/>
                <w:highlight w:val="none"/>
              </w:rPr>
            </w:pPr>
            <w:r>
              <w:rPr>
                <w:rFonts w:hint="eastAsia"/>
                <w:color w:val="auto"/>
                <w:sz w:val="22"/>
                <w:highlight w:val="none"/>
              </w:rPr>
              <w:t>A4-80g 10包/箱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633A05ED">
            <w:pPr>
              <w:jc w:val="center"/>
              <w:rPr>
                <w:rFonts w:hint="eastAsia" w:asciiTheme="minorEastAsia" w:hAnsiTheme="minorEastAsia"/>
                <w:color w:val="auto"/>
                <w:sz w:val="24"/>
                <w:szCs w:val="24"/>
                <w:highlight w:val="none"/>
              </w:rPr>
            </w:pPr>
            <w:r>
              <w:rPr>
                <w:rFonts w:hint="eastAsia"/>
                <w:color w:val="auto"/>
                <w:sz w:val="22"/>
                <w:highlight w:val="none"/>
              </w:rPr>
              <w:t>5000</w:t>
            </w:r>
          </w:p>
        </w:tc>
        <w:tc>
          <w:tcPr>
            <w:tcW w:w="1620" w:type="dxa"/>
            <w:vMerge w:val="continue"/>
            <w:tcBorders>
              <w:left w:val="single" w:color="auto" w:sz="4" w:space="0"/>
              <w:right w:val="single" w:color="auto" w:sz="4" w:space="0"/>
            </w:tcBorders>
            <w:noWrap/>
            <w:vAlign w:val="center"/>
          </w:tcPr>
          <w:p w14:paraId="75856807">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7E6F1151">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368C4223">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51E2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22651966">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6B1853EC">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1-13</w:t>
            </w:r>
          </w:p>
        </w:tc>
        <w:tc>
          <w:tcPr>
            <w:tcW w:w="1716" w:type="dxa"/>
            <w:tcBorders>
              <w:top w:val="single" w:color="auto" w:sz="4" w:space="0"/>
              <w:left w:val="single" w:color="auto" w:sz="4" w:space="0"/>
              <w:bottom w:val="single" w:color="auto" w:sz="4" w:space="0"/>
              <w:right w:val="single" w:color="auto" w:sz="4" w:space="0"/>
            </w:tcBorders>
            <w:noWrap/>
            <w:vAlign w:val="center"/>
          </w:tcPr>
          <w:p w14:paraId="11F15C62">
            <w:pPr>
              <w:jc w:val="center"/>
              <w:rPr>
                <w:rFonts w:hint="eastAsia" w:asciiTheme="minorEastAsia" w:hAnsiTheme="minorEastAsia"/>
                <w:color w:val="auto"/>
                <w:szCs w:val="21"/>
                <w:highlight w:val="none"/>
              </w:rPr>
            </w:pPr>
            <w:r>
              <w:rPr>
                <w:rFonts w:hint="eastAsia"/>
                <w:color w:val="auto"/>
                <w:sz w:val="22"/>
                <w:highlight w:val="none"/>
              </w:rPr>
              <w:t>A3-70g  5包/箱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66EB304A">
            <w:pPr>
              <w:jc w:val="center"/>
              <w:rPr>
                <w:rFonts w:hint="eastAsia" w:asciiTheme="minorEastAsia" w:hAnsiTheme="minorEastAsia"/>
                <w:color w:val="auto"/>
                <w:szCs w:val="21"/>
                <w:highlight w:val="none"/>
              </w:rPr>
            </w:pPr>
            <w:r>
              <w:rPr>
                <w:rFonts w:hint="eastAsia"/>
                <w:color w:val="auto"/>
                <w:sz w:val="22"/>
                <w:highlight w:val="none"/>
              </w:rPr>
              <w:t>3000</w:t>
            </w:r>
          </w:p>
        </w:tc>
        <w:tc>
          <w:tcPr>
            <w:tcW w:w="1620" w:type="dxa"/>
            <w:vMerge w:val="continue"/>
            <w:tcBorders>
              <w:left w:val="single" w:color="auto" w:sz="4" w:space="0"/>
              <w:right w:val="single" w:color="auto" w:sz="4" w:space="0"/>
            </w:tcBorders>
            <w:noWrap/>
            <w:vAlign w:val="center"/>
          </w:tcPr>
          <w:p w14:paraId="0E1C9E03">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0BA6DBCC">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06B74D15">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6E48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27203759">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01E81F2F">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1-14</w:t>
            </w:r>
          </w:p>
        </w:tc>
        <w:tc>
          <w:tcPr>
            <w:tcW w:w="1716" w:type="dxa"/>
            <w:tcBorders>
              <w:top w:val="single" w:color="auto" w:sz="4" w:space="0"/>
              <w:left w:val="single" w:color="auto" w:sz="4" w:space="0"/>
              <w:bottom w:val="single" w:color="auto" w:sz="4" w:space="0"/>
              <w:right w:val="single" w:color="auto" w:sz="4" w:space="0"/>
            </w:tcBorders>
            <w:noWrap/>
            <w:vAlign w:val="center"/>
          </w:tcPr>
          <w:p w14:paraId="385C88C4">
            <w:pPr>
              <w:jc w:val="center"/>
              <w:rPr>
                <w:rFonts w:hint="eastAsia" w:asciiTheme="minorEastAsia" w:hAnsiTheme="minorEastAsia"/>
                <w:color w:val="auto"/>
                <w:szCs w:val="21"/>
                <w:highlight w:val="none"/>
              </w:rPr>
            </w:pPr>
            <w:r>
              <w:rPr>
                <w:rFonts w:hint="eastAsia"/>
                <w:color w:val="auto"/>
                <w:sz w:val="22"/>
                <w:highlight w:val="none"/>
              </w:rPr>
              <w:t>A3-80g 5包/箱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7F7146A1">
            <w:pPr>
              <w:jc w:val="center"/>
              <w:rPr>
                <w:rFonts w:hint="eastAsia" w:asciiTheme="minorEastAsia" w:hAnsiTheme="minorEastAsia"/>
                <w:color w:val="auto"/>
                <w:szCs w:val="21"/>
                <w:highlight w:val="none"/>
              </w:rPr>
            </w:pPr>
            <w:r>
              <w:rPr>
                <w:rFonts w:hint="eastAsia"/>
                <w:color w:val="auto"/>
                <w:sz w:val="22"/>
                <w:highlight w:val="none"/>
              </w:rPr>
              <w:t>1000</w:t>
            </w:r>
          </w:p>
        </w:tc>
        <w:tc>
          <w:tcPr>
            <w:tcW w:w="1620" w:type="dxa"/>
            <w:vMerge w:val="continue"/>
            <w:tcBorders>
              <w:left w:val="single" w:color="auto" w:sz="4" w:space="0"/>
              <w:right w:val="single" w:color="auto" w:sz="4" w:space="0"/>
            </w:tcBorders>
            <w:noWrap/>
            <w:vAlign w:val="center"/>
          </w:tcPr>
          <w:p w14:paraId="1059553A">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3D9F73BD">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0029C0F9">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0869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right w:val="single" w:color="auto" w:sz="4" w:space="0"/>
            </w:tcBorders>
            <w:noWrap/>
            <w:vAlign w:val="center"/>
          </w:tcPr>
          <w:p w14:paraId="51470C9D">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4C8470FF">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1-15</w:t>
            </w:r>
          </w:p>
        </w:tc>
        <w:tc>
          <w:tcPr>
            <w:tcW w:w="1716" w:type="dxa"/>
            <w:tcBorders>
              <w:top w:val="single" w:color="auto" w:sz="4" w:space="0"/>
              <w:left w:val="single" w:color="auto" w:sz="4" w:space="0"/>
              <w:bottom w:val="single" w:color="auto" w:sz="4" w:space="0"/>
              <w:right w:val="single" w:color="auto" w:sz="4" w:space="0"/>
            </w:tcBorders>
            <w:noWrap/>
            <w:vAlign w:val="center"/>
          </w:tcPr>
          <w:p w14:paraId="0412CD50">
            <w:pPr>
              <w:jc w:val="center"/>
              <w:rPr>
                <w:rFonts w:hint="eastAsia" w:asciiTheme="minorEastAsia" w:hAnsiTheme="minorEastAsia"/>
                <w:color w:val="auto"/>
                <w:szCs w:val="21"/>
                <w:highlight w:val="none"/>
              </w:rPr>
            </w:pPr>
            <w:r>
              <w:rPr>
                <w:rFonts w:hint="eastAsia"/>
                <w:color w:val="auto"/>
                <w:sz w:val="22"/>
                <w:highlight w:val="none"/>
              </w:rPr>
              <w:t>8K-70g 4包/箱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55096FE0">
            <w:pPr>
              <w:jc w:val="center"/>
              <w:rPr>
                <w:rFonts w:hint="eastAsia" w:asciiTheme="minorEastAsia" w:hAnsiTheme="minorEastAsia"/>
                <w:color w:val="auto"/>
                <w:szCs w:val="21"/>
                <w:highlight w:val="none"/>
              </w:rPr>
            </w:pPr>
            <w:r>
              <w:rPr>
                <w:rFonts w:hint="eastAsia"/>
                <w:color w:val="auto"/>
                <w:sz w:val="22"/>
                <w:highlight w:val="none"/>
              </w:rPr>
              <w:t>28000</w:t>
            </w:r>
          </w:p>
        </w:tc>
        <w:tc>
          <w:tcPr>
            <w:tcW w:w="1620" w:type="dxa"/>
            <w:vMerge w:val="continue"/>
            <w:tcBorders>
              <w:left w:val="single" w:color="auto" w:sz="4" w:space="0"/>
              <w:right w:val="single" w:color="auto" w:sz="4" w:space="0"/>
            </w:tcBorders>
            <w:noWrap/>
            <w:vAlign w:val="center"/>
          </w:tcPr>
          <w:p w14:paraId="10776780">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right w:val="single" w:color="auto" w:sz="4" w:space="0"/>
            </w:tcBorders>
            <w:noWrap/>
            <w:vAlign w:val="center"/>
          </w:tcPr>
          <w:p w14:paraId="4CA4671E">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right w:val="single" w:color="auto" w:sz="4" w:space="0"/>
            </w:tcBorders>
            <w:noWrap/>
            <w:vAlign w:val="center"/>
          </w:tcPr>
          <w:p w14:paraId="3BCDB1DF">
            <w:pPr>
              <w:pStyle w:val="4"/>
              <w:tabs>
                <w:tab w:val="left" w:pos="8360"/>
              </w:tabs>
              <w:spacing w:line="360" w:lineRule="auto"/>
              <w:rPr>
                <w:rFonts w:hint="eastAsia" w:ascii="宋体" w:hAnsi="宋体" w:eastAsia="宋体" w:cs="宋体"/>
                <w:b w:val="0"/>
                <w:bCs w:val="0"/>
                <w:color w:val="auto"/>
                <w:sz w:val="24"/>
                <w:szCs w:val="24"/>
                <w:highlight w:val="none"/>
              </w:rPr>
            </w:pPr>
          </w:p>
        </w:tc>
      </w:tr>
      <w:tr w14:paraId="318A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vMerge w:val="continue"/>
            <w:tcBorders>
              <w:left w:val="single" w:color="auto" w:sz="4" w:space="0"/>
              <w:bottom w:val="single" w:color="auto" w:sz="4" w:space="0"/>
              <w:right w:val="single" w:color="auto" w:sz="4" w:space="0"/>
            </w:tcBorders>
            <w:noWrap/>
            <w:vAlign w:val="center"/>
          </w:tcPr>
          <w:p w14:paraId="249D8681">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952" w:type="dxa"/>
            <w:tcBorders>
              <w:top w:val="single" w:color="auto" w:sz="4" w:space="0"/>
              <w:left w:val="single" w:color="auto" w:sz="4" w:space="0"/>
              <w:bottom w:val="single" w:color="auto" w:sz="4" w:space="0"/>
              <w:right w:val="single" w:color="auto" w:sz="4" w:space="0"/>
            </w:tcBorders>
            <w:noWrap/>
            <w:vAlign w:val="center"/>
          </w:tcPr>
          <w:p w14:paraId="0688C6C9">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1-16</w:t>
            </w:r>
          </w:p>
        </w:tc>
        <w:tc>
          <w:tcPr>
            <w:tcW w:w="1716" w:type="dxa"/>
            <w:tcBorders>
              <w:top w:val="single" w:color="auto" w:sz="4" w:space="0"/>
              <w:left w:val="single" w:color="auto" w:sz="4" w:space="0"/>
              <w:bottom w:val="single" w:color="auto" w:sz="4" w:space="0"/>
              <w:right w:val="single" w:color="auto" w:sz="4" w:space="0"/>
            </w:tcBorders>
            <w:noWrap/>
            <w:vAlign w:val="center"/>
          </w:tcPr>
          <w:p w14:paraId="56900EB5">
            <w:pPr>
              <w:jc w:val="center"/>
              <w:rPr>
                <w:rFonts w:hint="eastAsia" w:asciiTheme="minorEastAsia" w:hAnsiTheme="minorEastAsia"/>
                <w:color w:val="auto"/>
                <w:szCs w:val="21"/>
                <w:highlight w:val="none"/>
              </w:rPr>
            </w:pPr>
            <w:r>
              <w:rPr>
                <w:rFonts w:hint="eastAsia"/>
                <w:color w:val="auto"/>
                <w:sz w:val="22"/>
                <w:highlight w:val="none"/>
              </w:rPr>
              <w:t>8K-80g 4包/箱</w:t>
            </w:r>
          </w:p>
        </w:tc>
        <w:tc>
          <w:tcPr>
            <w:tcW w:w="900" w:type="dxa"/>
            <w:tcBorders>
              <w:top w:val="single" w:color="auto" w:sz="4" w:space="0"/>
              <w:left w:val="single" w:color="auto" w:sz="4" w:space="0"/>
              <w:bottom w:val="single" w:color="auto" w:sz="4" w:space="0"/>
              <w:right w:val="single" w:color="auto" w:sz="4" w:space="0"/>
            </w:tcBorders>
            <w:noWrap/>
            <w:vAlign w:val="center"/>
          </w:tcPr>
          <w:p w14:paraId="213EB846">
            <w:pPr>
              <w:jc w:val="center"/>
              <w:rPr>
                <w:rFonts w:hint="eastAsia" w:asciiTheme="minorEastAsia" w:hAnsiTheme="minorEastAsia"/>
                <w:color w:val="auto"/>
                <w:szCs w:val="21"/>
                <w:highlight w:val="none"/>
              </w:rPr>
            </w:pPr>
            <w:r>
              <w:rPr>
                <w:rFonts w:hint="eastAsia"/>
                <w:color w:val="auto"/>
                <w:sz w:val="22"/>
                <w:highlight w:val="none"/>
              </w:rPr>
              <w:t>1000</w:t>
            </w:r>
          </w:p>
        </w:tc>
        <w:tc>
          <w:tcPr>
            <w:tcW w:w="1620" w:type="dxa"/>
            <w:vMerge w:val="continue"/>
            <w:tcBorders>
              <w:left w:val="single" w:color="auto" w:sz="4" w:space="0"/>
              <w:bottom w:val="single" w:color="auto" w:sz="4" w:space="0"/>
              <w:right w:val="single" w:color="auto" w:sz="4" w:space="0"/>
            </w:tcBorders>
            <w:noWrap/>
            <w:vAlign w:val="center"/>
          </w:tcPr>
          <w:p w14:paraId="1BEB4075">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1080" w:type="dxa"/>
            <w:vMerge w:val="continue"/>
            <w:tcBorders>
              <w:left w:val="single" w:color="auto" w:sz="4" w:space="0"/>
              <w:bottom w:val="single" w:color="auto" w:sz="4" w:space="0"/>
              <w:right w:val="single" w:color="auto" w:sz="4" w:space="0"/>
            </w:tcBorders>
            <w:noWrap/>
            <w:vAlign w:val="center"/>
          </w:tcPr>
          <w:p w14:paraId="0A80C7B4">
            <w:pPr>
              <w:pStyle w:val="4"/>
              <w:tabs>
                <w:tab w:val="left" w:pos="8360"/>
              </w:tabs>
              <w:spacing w:line="360" w:lineRule="auto"/>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bottom w:val="single" w:color="auto" w:sz="4" w:space="0"/>
              <w:right w:val="single" w:color="auto" w:sz="4" w:space="0"/>
            </w:tcBorders>
            <w:noWrap/>
            <w:vAlign w:val="center"/>
          </w:tcPr>
          <w:p w14:paraId="73AE6165">
            <w:pPr>
              <w:pStyle w:val="4"/>
              <w:tabs>
                <w:tab w:val="left" w:pos="8360"/>
              </w:tabs>
              <w:spacing w:line="360" w:lineRule="auto"/>
              <w:rPr>
                <w:rFonts w:hint="eastAsia" w:ascii="宋体" w:hAnsi="宋体" w:eastAsia="宋体" w:cs="宋体"/>
                <w:b w:val="0"/>
                <w:bCs w:val="0"/>
                <w:color w:val="auto"/>
                <w:sz w:val="24"/>
                <w:szCs w:val="24"/>
                <w:highlight w:val="none"/>
              </w:rPr>
            </w:pPr>
          </w:p>
        </w:tc>
      </w:tr>
    </w:tbl>
    <w:p w14:paraId="1A51507F">
      <w:pPr>
        <w:pStyle w:val="6"/>
        <w:tabs>
          <w:tab w:val="left" w:pos="8360"/>
        </w:tabs>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rPr>
        <w:t>注：投标人可按合同包投标，对同一合同包内所有品目号内容投标时必须完整。评标与授标以合同包为单位。</w:t>
      </w:r>
    </w:p>
    <w:p w14:paraId="7381C80B">
      <w:pPr>
        <w:pStyle w:val="6"/>
        <w:tabs>
          <w:tab w:val="left" w:pos="8360"/>
        </w:tabs>
        <w:spacing w:line="360" w:lineRule="auto"/>
        <w:jc w:val="left"/>
        <w:rPr>
          <w:rFonts w:hint="eastAsia" w:hAnsi="宋体" w:cs="宋体"/>
          <w:color w:val="auto"/>
          <w:sz w:val="24"/>
          <w:szCs w:val="24"/>
          <w:highlight w:val="none"/>
        </w:rPr>
      </w:pPr>
    </w:p>
    <w:p w14:paraId="5511EAFB">
      <w:pPr>
        <w:pStyle w:val="6"/>
        <w:tabs>
          <w:tab w:val="left" w:pos="8360"/>
        </w:tabs>
        <w:spacing w:line="360" w:lineRule="auto"/>
        <w:jc w:val="left"/>
        <w:rPr>
          <w:rFonts w:hint="eastAsia" w:hAnsi="宋体" w:cs="宋体"/>
          <w:color w:val="auto"/>
          <w:sz w:val="24"/>
          <w:szCs w:val="24"/>
          <w:highlight w:val="none"/>
        </w:rPr>
      </w:pPr>
    </w:p>
    <w:p w14:paraId="7141E401">
      <w:pPr>
        <w:pStyle w:val="6"/>
        <w:tabs>
          <w:tab w:val="left" w:pos="8360"/>
        </w:tabs>
        <w:spacing w:line="360" w:lineRule="auto"/>
        <w:jc w:val="left"/>
        <w:rPr>
          <w:rFonts w:hint="eastAsia" w:hAnsi="宋体" w:cs="宋体"/>
          <w:color w:val="auto"/>
          <w:sz w:val="24"/>
          <w:szCs w:val="24"/>
          <w:highlight w:val="none"/>
        </w:rPr>
      </w:pPr>
    </w:p>
    <w:p w14:paraId="1D431B9E">
      <w:pPr>
        <w:pStyle w:val="6"/>
        <w:tabs>
          <w:tab w:val="left" w:pos="8360"/>
        </w:tabs>
        <w:spacing w:line="360" w:lineRule="auto"/>
        <w:jc w:val="left"/>
        <w:rPr>
          <w:rFonts w:hint="eastAsia" w:hAnsi="宋体" w:cs="宋体"/>
          <w:color w:val="auto"/>
          <w:sz w:val="24"/>
          <w:szCs w:val="24"/>
          <w:highlight w:val="none"/>
        </w:rPr>
      </w:pPr>
    </w:p>
    <w:p w14:paraId="2DDF8BF9">
      <w:pPr>
        <w:pStyle w:val="6"/>
        <w:tabs>
          <w:tab w:val="left" w:pos="8360"/>
        </w:tabs>
        <w:spacing w:line="360" w:lineRule="auto"/>
        <w:jc w:val="left"/>
        <w:rPr>
          <w:rFonts w:hint="eastAsia" w:hAnsi="宋体" w:cs="宋体"/>
          <w:color w:val="auto"/>
          <w:sz w:val="24"/>
          <w:szCs w:val="24"/>
          <w:highlight w:val="none"/>
        </w:rPr>
      </w:pPr>
    </w:p>
    <w:p w14:paraId="3E8BA3CD">
      <w:pPr>
        <w:pStyle w:val="6"/>
        <w:tabs>
          <w:tab w:val="left" w:pos="8360"/>
        </w:tabs>
        <w:spacing w:line="360" w:lineRule="auto"/>
        <w:jc w:val="left"/>
        <w:rPr>
          <w:rFonts w:hint="eastAsia" w:hAnsi="宋体" w:cs="宋体"/>
          <w:color w:val="auto"/>
          <w:sz w:val="24"/>
          <w:szCs w:val="24"/>
          <w:highlight w:val="none"/>
        </w:rPr>
      </w:pPr>
    </w:p>
    <w:p w14:paraId="041D20D2">
      <w:pPr>
        <w:pStyle w:val="6"/>
        <w:tabs>
          <w:tab w:val="left" w:pos="8360"/>
        </w:tabs>
        <w:spacing w:line="360" w:lineRule="auto"/>
        <w:jc w:val="left"/>
        <w:rPr>
          <w:rFonts w:hint="eastAsia" w:hAnsi="宋体" w:cs="宋体"/>
          <w:color w:val="auto"/>
          <w:sz w:val="24"/>
          <w:szCs w:val="24"/>
          <w:highlight w:val="none"/>
        </w:rPr>
      </w:pPr>
    </w:p>
    <w:p w14:paraId="3877D217">
      <w:pPr>
        <w:pStyle w:val="6"/>
        <w:tabs>
          <w:tab w:val="left" w:pos="8360"/>
        </w:tabs>
        <w:spacing w:line="360" w:lineRule="auto"/>
        <w:jc w:val="left"/>
        <w:rPr>
          <w:rFonts w:hint="eastAsia" w:hAnsi="宋体" w:cs="宋体"/>
          <w:color w:val="auto"/>
          <w:sz w:val="24"/>
          <w:szCs w:val="24"/>
          <w:highlight w:val="none"/>
        </w:rPr>
      </w:pPr>
    </w:p>
    <w:p w14:paraId="5D47D493">
      <w:pPr>
        <w:pStyle w:val="6"/>
        <w:tabs>
          <w:tab w:val="left" w:pos="8360"/>
        </w:tabs>
        <w:spacing w:line="360" w:lineRule="auto"/>
        <w:jc w:val="left"/>
        <w:rPr>
          <w:rFonts w:hint="eastAsia" w:hAnsi="宋体" w:cs="宋体"/>
          <w:color w:val="auto"/>
          <w:sz w:val="24"/>
          <w:szCs w:val="24"/>
          <w:highlight w:val="none"/>
        </w:rPr>
      </w:pPr>
    </w:p>
    <w:p w14:paraId="0F7E2F2B">
      <w:pPr>
        <w:pStyle w:val="6"/>
        <w:tabs>
          <w:tab w:val="left" w:pos="8360"/>
        </w:tabs>
        <w:spacing w:line="360" w:lineRule="auto"/>
        <w:jc w:val="left"/>
        <w:rPr>
          <w:rFonts w:hint="eastAsia" w:hAnsi="宋体" w:cs="宋体"/>
          <w:color w:val="auto"/>
          <w:sz w:val="24"/>
          <w:szCs w:val="24"/>
          <w:highlight w:val="none"/>
        </w:rPr>
      </w:pPr>
    </w:p>
    <w:p w14:paraId="657AA7CB">
      <w:pPr>
        <w:pStyle w:val="6"/>
        <w:tabs>
          <w:tab w:val="left" w:pos="8360"/>
        </w:tabs>
        <w:spacing w:line="360" w:lineRule="auto"/>
        <w:jc w:val="left"/>
        <w:rPr>
          <w:rFonts w:hint="eastAsia" w:hAnsi="宋体" w:cs="宋体"/>
          <w:color w:val="auto"/>
          <w:sz w:val="24"/>
          <w:szCs w:val="24"/>
          <w:highlight w:val="none"/>
        </w:rPr>
      </w:pPr>
    </w:p>
    <w:p w14:paraId="75A8DEE7">
      <w:pPr>
        <w:pStyle w:val="6"/>
        <w:tabs>
          <w:tab w:val="left" w:pos="8360"/>
        </w:tabs>
        <w:spacing w:line="360" w:lineRule="auto"/>
        <w:jc w:val="left"/>
        <w:rPr>
          <w:rFonts w:hint="eastAsia" w:hAnsi="宋体" w:cs="宋体"/>
          <w:color w:val="auto"/>
          <w:sz w:val="24"/>
          <w:szCs w:val="24"/>
          <w:highlight w:val="none"/>
        </w:rPr>
      </w:pPr>
    </w:p>
    <w:p w14:paraId="717D4E24">
      <w:pPr>
        <w:pStyle w:val="6"/>
        <w:tabs>
          <w:tab w:val="left" w:pos="8360"/>
        </w:tabs>
        <w:spacing w:line="360" w:lineRule="auto"/>
        <w:jc w:val="left"/>
        <w:rPr>
          <w:rFonts w:hint="eastAsia" w:hAnsi="宋体" w:cs="宋体"/>
          <w:color w:val="auto"/>
          <w:sz w:val="24"/>
          <w:szCs w:val="24"/>
          <w:highlight w:val="none"/>
        </w:rPr>
      </w:pPr>
    </w:p>
    <w:p w14:paraId="216DA426">
      <w:pPr>
        <w:pStyle w:val="3"/>
        <w:spacing w:line="360" w:lineRule="auto"/>
        <w:ind w:firstLine="0"/>
        <w:rPr>
          <w:rFonts w:hint="eastAsia" w:ascii="宋体" w:hAnsi="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32B4543E">
      <w:pPr>
        <w:pStyle w:val="17"/>
        <w:spacing w:line="360" w:lineRule="auto"/>
        <w:jc w:val="center"/>
        <w:rPr>
          <w:rFonts w:hint="eastAsia" w:hAnsi="宋体" w:cs="宋体"/>
          <w:b/>
          <w:color w:val="auto"/>
          <w:sz w:val="32"/>
          <w:szCs w:val="32"/>
          <w:highlight w:val="none"/>
        </w:rPr>
      </w:pPr>
      <w:r>
        <w:rPr>
          <w:rFonts w:hint="eastAsia" w:hAnsi="宋体" w:cs="宋体"/>
          <w:b/>
          <w:color w:val="auto"/>
          <w:sz w:val="32"/>
          <w:szCs w:val="32"/>
          <w:highlight w:val="none"/>
        </w:rPr>
        <w:t>第二章  投标人须知</w:t>
      </w:r>
    </w:p>
    <w:p w14:paraId="6E37B132">
      <w:pPr>
        <w:pStyle w:val="17"/>
        <w:spacing w:line="360" w:lineRule="auto"/>
        <w:jc w:val="center"/>
        <w:rPr>
          <w:rFonts w:hint="eastAsia" w:hAnsi="宋体" w:cs="宋体"/>
          <w:color w:val="auto"/>
          <w:sz w:val="32"/>
          <w:szCs w:val="32"/>
          <w:highlight w:val="none"/>
        </w:rPr>
      </w:pPr>
      <w:r>
        <w:rPr>
          <w:rFonts w:hint="eastAsia" w:hAnsi="宋体" w:cs="宋体"/>
          <w:b/>
          <w:color w:val="auto"/>
          <w:sz w:val="32"/>
          <w:szCs w:val="32"/>
          <w:highlight w:val="none"/>
        </w:rPr>
        <w:t>投标人须知前附表1</w:t>
      </w:r>
    </w:p>
    <w:p w14:paraId="2A8CCDDF">
      <w:pPr>
        <w:spacing w:line="360" w:lineRule="auto"/>
        <w:ind w:firstLine="527"/>
        <w:rPr>
          <w:rFonts w:hint="eastAsia" w:ascii="宋体" w:hAnsi="宋体" w:cs="宋体"/>
          <w:color w:val="auto"/>
          <w:sz w:val="24"/>
          <w:szCs w:val="24"/>
          <w:highlight w:val="none"/>
        </w:rPr>
      </w:pPr>
      <w:r>
        <w:rPr>
          <w:rFonts w:hint="eastAsia" w:ascii="宋体" w:hAnsi="宋体" w:cs="宋体"/>
          <w:color w:val="auto"/>
          <w:sz w:val="24"/>
          <w:szCs w:val="24"/>
          <w:highlight w:val="none"/>
        </w:rPr>
        <w:t>本须知前附表1的条款号是与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7356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tcPr>
          <w:p w14:paraId="6AF5C928">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项号</w:t>
            </w:r>
          </w:p>
        </w:tc>
        <w:tc>
          <w:tcPr>
            <w:tcW w:w="1080" w:type="dxa"/>
          </w:tcPr>
          <w:p w14:paraId="1BC9A4EC">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条款号</w:t>
            </w:r>
          </w:p>
        </w:tc>
        <w:tc>
          <w:tcPr>
            <w:tcW w:w="7380" w:type="dxa"/>
          </w:tcPr>
          <w:p w14:paraId="1C5919D4">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编   列   内    容</w:t>
            </w:r>
          </w:p>
        </w:tc>
      </w:tr>
      <w:tr w14:paraId="3FCD4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23A55D5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1080" w:type="dxa"/>
            <w:vAlign w:val="center"/>
          </w:tcPr>
          <w:p w14:paraId="221382CD">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1.1</w:t>
            </w:r>
          </w:p>
        </w:tc>
        <w:tc>
          <w:tcPr>
            <w:tcW w:w="7380" w:type="dxa"/>
            <w:vAlign w:val="center"/>
          </w:tcPr>
          <w:p w14:paraId="608BBAEB">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项目名称： </w:t>
            </w:r>
            <w:r>
              <w:rPr>
                <w:rFonts w:hint="eastAsia" w:ascii="宋体" w:hAnsi="宋体" w:cs="宋体"/>
                <w:color w:val="auto"/>
                <w:sz w:val="24"/>
                <w:szCs w:val="24"/>
                <w:highlight w:val="none"/>
              </w:rPr>
              <w:t>2026年大宗复印纸采购</w:t>
            </w:r>
          </w:p>
          <w:p w14:paraId="470D7490">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00C29CE3">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5DFC808D">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项目内容： </w:t>
            </w:r>
            <w:r>
              <w:rPr>
                <w:rFonts w:hint="eastAsia" w:ascii="宋体" w:hAnsi="宋体" w:cs="宋体"/>
                <w:color w:val="auto"/>
                <w:sz w:val="24"/>
                <w:szCs w:val="24"/>
                <w:highlight w:val="none"/>
              </w:rPr>
              <w:t>2026年大宗复印纸采购</w:t>
            </w:r>
          </w:p>
          <w:p w14:paraId="757F2763">
            <w:pPr>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u w:val="single"/>
              </w:rPr>
              <w:t>XM2026-DZ0019</w:t>
            </w:r>
          </w:p>
          <w:p w14:paraId="4F4D50A2">
            <w:pPr>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采购预算：人民币4688.787814万元整</w:t>
            </w:r>
          </w:p>
        </w:tc>
      </w:tr>
      <w:tr w14:paraId="06A2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vAlign w:val="center"/>
          </w:tcPr>
          <w:p w14:paraId="41ACCB2B">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w:t>
            </w:r>
          </w:p>
        </w:tc>
        <w:tc>
          <w:tcPr>
            <w:tcW w:w="1080" w:type="dxa"/>
            <w:vAlign w:val="center"/>
          </w:tcPr>
          <w:p w14:paraId="7DB09BCB">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7380" w:type="dxa"/>
            <w:vAlign w:val="center"/>
          </w:tcPr>
          <w:p w14:paraId="1C198D21">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资格标准：</w:t>
            </w:r>
          </w:p>
          <w:p w14:paraId="41AB6322">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详见第二章《投标人须知》第3条，以及第三章《招标内容及要求》有关内容。</w:t>
            </w:r>
          </w:p>
        </w:tc>
      </w:tr>
      <w:tr w14:paraId="0260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31DA9BE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1080" w:type="dxa"/>
            <w:vAlign w:val="center"/>
          </w:tcPr>
          <w:p w14:paraId="1F2E53CB">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11.1</w:t>
            </w:r>
          </w:p>
        </w:tc>
        <w:tc>
          <w:tcPr>
            <w:tcW w:w="7380" w:type="dxa"/>
            <w:vAlign w:val="center"/>
          </w:tcPr>
          <w:p w14:paraId="23677D41">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投标有效期：投标截止之日起</w:t>
            </w:r>
            <w:r>
              <w:rPr>
                <w:rFonts w:hint="eastAsia" w:ascii="宋体" w:hAnsi="宋体" w:cs="宋体"/>
                <w:color w:val="auto"/>
                <w:sz w:val="24"/>
                <w:szCs w:val="24"/>
                <w:highlight w:val="none"/>
                <w:u w:val="single"/>
              </w:rPr>
              <w:t>180</w:t>
            </w:r>
            <w:r>
              <w:rPr>
                <w:rFonts w:hint="eastAsia" w:ascii="宋体" w:hAnsi="宋体" w:cs="宋体"/>
                <w:color w:val="auto"/>
                <w:sz w:val="24"/>
                <w:szCs w:val="24"/>
                <w:highlight w:val="none"/>
              </w:rPr>
              <w:t>个日历日。</w:t>
            </w:r>
          </w:p>
          <w:p w14:paraId="200AA00F">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有效期不足将导致其投标文件被拒绝。</w:t>
            </w:r>
          </w:p>
        </w:tc>
      </w:tr>
      <w:tr w14:paraId="7818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1E82371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4</w:t>
            </w:r>
          </w:p>
        </w:tc>
        <w:tc>
          <w:tcPr>
            <w:tcW w:w="1080" w:type="dxa"/>
            <w:vAlign w:val="center"/>
          </w:tcPr>
          <w:p w14:paraId="2D22B47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12</w:t>
            </w:r>
          </w:p>
        </w:tc>
        <w:tc>
          <w:tcPr>
            <w:tcW w:w="7380" w:type="dxa"/>
            <w:vAlign w:val="center"/>
          </w:tcPr>
          <w:p w14:paraId="47739C45">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投标保证金：</w:t>
            </w:r>
            <w:r>
              <w:rPr>
                <w:rFonts w:hint="eastAsia" w:ascii="宋体" w:hAnsi="宋体" w:cs="宋体"/>
                <w:color w:val="auto"/>
                <w:sz w:val="24"/>
                <w:szCs w:val="24"/>
                <w:highlight w:val="none"/>
                <w:u w:val="single"/>
              </w:rPr>
              <w:t xml:space="preserve">    0元      </w:t>
            </w:r>
          </w:p>
          <w:p w14:paraId="0129FB85">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①投标保证金以转账、电汇两种形式提交（不收取现金、现金支票，不能用个人卡在银联支付系统转账，否则作未提交投标保证金处理）。</w:t>
            </w:r>
          </w:p>
          <w:p w14:paraId="4AD08CF5">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②若项目存在分合同包采购的，则投标保证金应按不同的合同包号分别提交。</w:t>
            </w:r>
          </w:p>
          <w:p w14:paraId="2E8063CA">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③经评审，若所有采购标的均为中小企业（含个体工商户）制造的货物，或者监狱企业提供本单位制造的货物；或者残疾人福利性单位提供本单位制造的货物（或提供其他残疾人福利性单位制造的货物），投标保证金全免交纳。全免交纳投标保证金的投标人应按照招标文件格式要求在投标文件中提供《中小企业声明函》。</w:t>
            </w:r>
          </w:p>
          <w:p w14:paraId="34595193">
            <w:pPr>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④</w:t>
            </w:r>
            <w:r>
              <w:rPr>
                <w:rFonts w:hint="eastAsia" w:ascii="宋体" w:hAnsi="宋体" w:cs="宋体"/>
                <w:color w:val="auto"/>
                <w:kern w:val="0"/>
                <w:sz w:val="24"/>
                <w:szCs w:val="24"/>
                <w:highlight w:val="none"/>
              </w:rPr>
              <w:t>投标保证金应在投标截止时间前到账。</w:t>
            </w:r>
          </w:p>
          <w:p w14:paraId="5664BC45">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未按前述规定缴交投标保证金的，投标无效。</w:t>
            </w:r>
          </w:p>
          <w:p w14:paraId="1D35D8FA">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1D24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29BE4F8E">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5</w:t>
            </w:r>
          </w:p>
        </w:tc>
        <w:tc>
          <w:tcPr>
            <w:tcW w:w="1080" w:type="dxa"/>
            <w:vAlign w:val="center"/>
          </w:tcPr>
          <w:p w14:paraId="574C03E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19.1</w:t>
            </w:r>
          </w:p>
        </w:tc>
        <w:tc>
          <w:tcPr>
            <w:tcW w:w="7380" w:type="dxa"/>
            <w:vAlign w:val="center"/>
          </w:tcPr>
          <w:p w14:paraId="3C2385DA">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评标方法、标准及定标原则(含推荐中标候选供应商数量)：</w:t>
            </w:r>
          </w:p>
          <w:p w14:paraId="035B4537">
            <w:pPr>
              <w:pStyle w:val="6"/>
              <w:spacing w:line="360" w:lineRule="auto"/>
              <w:rPr>
                <w:rFonts w:hint="eastAsia" w:hAnsi="宋体" w:cs="宋体"/>
                <w:color w:val="auto"/>
                <w:sz w:val="24"/>
                <w:szCs w:val="24"/>
                <w:highlight w:val="none"/>
              </w:rPr>
            </w:pPr>
            <w:r>
              <w:rPr>
                <w:rFonts w:hint="eastAsia" w:hAnsi="宋体" w:cs="宋体"/>
                <w:color w:val="auto"/>
                <w:sz w:val="24"/>
                <w:szCs w:val="24"/>
                <w:highlight w:val="none"/>
              </w:rPr>
              <w:t>详见《投标人须知前附表3》。</w:t>
            </w:r>
          </w:p>
        </w:tc>
      </w:tr>
      <w:tr w14:paraId="3CAF6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340C759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6</w:t>
            </w:r>
          </w:p>
        </w:tc>
        <w:tc>
          <w:tcPr>
            <w:tcW w:w="1080" w:type="dxa"/>
            <w:vAlign w:val="center"/>
          </w:tcPr>
          <w:p w14:paraId="1359773D">
            <w:pPr>
              <w:spacing w:line="360" w:lineRule="auto"/>
              <w:ind w:right="-63" w:rightChars="-30"/>
              <w:rPr>
                <w:rFonts w:hint="eastAsia" w:ascii="宋体" w:hAnsi="宋体" w:cs="宋体"/>
                <w:color w:val="auto"/>
                <w:sz w:val="24"/>
                <w:szCs w:val="24"/>
                <w:highlight w:val="none"/>
              </w:rPr>
            </w:pPr>
            <w:r>
              <w:rPr>
                <w:rFonts w:hint="eastAsia" w:ascii="宋体" w:hAnsi="宋体" w:cs="宋体"/>
                <w:color w:val="auto"/>
                <w:sz w:val="24"/>
                <w:szCs w:val="24"/>
                <w:highlight w:val="none"/>
              </w:rPr>
              <w:t>12.9</w:t>
            </w:r>
          </w:p>
        </w:tc>
        <w:tc>
          <w:tcPr>
            <w:tcW w:w="7380" w:type="dxa"/>
            <w:vAlign w:val="center"/>
          </w:tcPr>
          <w:p w14:paraId="44D9676B">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代理服务费：</w:t>
            </w:r>
          </w:p>
          <w:p w14:paraId="5D42A37D">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1、代理服务费收费标准：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72A0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3C25CBC">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中标金额(万元)</w:t>
                  </w:r>
                </w:p>
              </w:tc>
              <w:tc>
                <w:tcPr>
                  <w:tcW w:w="2700" w:type="dxa"/>
                </w:tcPr>
                <w:p w14:paraId="67BCCD0D">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费率</w:t>
                  </w:r>
                </w:p>
              </w:tc>
            </w:tr>
            <w:tr w14:paraId="0AD01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C72CEE6">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[0―100]</w:t>
                  </w:r>
                </w:p>
              </w:tc>
              <w:tc>
                <w:tcPr>
                  <w:tcW w:w="2700" w:type="dxa"/>
                </w:tcPr>
                <w:p w14:paraId="67267A0E">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1.5%</w:t>
                  </w:r>
                </w:p>
              </w:tc>
            </w:tr>
            <w:tr w14:paraId="0F50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83CE122">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（100－500]</w:t>
                  </w:r>
                </w:p>
              </w:tc>
              <w:tc>
                <w:tcPr>
                  <w:tcW w:w="2700" w:type="dxa"/>
                </w:tcPr>
                <w:p w14:paraId="0E1D6258">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1.1%</w:t>
                  </w:r>
                </w:p>
              </w:tc>
            </w:tr>
            <w:tr w14:paraId="60B8F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247A429">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（500-1000]</w:t>
                  </w:r>
                </w:p>
              </w:tc>
              <w:tc>
                <w:tcPr>
                  <w:tcW w:w="2700" w:type="dxa"/>
                </w:tcPr>
                <w:p w14:paraId="325C1091">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0.8%</w:t>
                  </w:r>
                </w:p>
              </w:tc>
            </w:tr>
            <w:tr w14:paraId="59DB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147934C4">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（1000-5000]</w:t>
                  </w:r>
                </w:p>
              </w:tc>
              <w:tc>
                <w:tcPr>
                  <w:tcW w:w="2700" w:type="dxa"/>
                </w:tcPr>
                <w:p w14:paraId="54633232">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0.5%</w:t>
                  </w:r>
                </w:p>
              </w:tc>
            </w:tr>
            <w:tr w14:paraId="1FC0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62F5C6D8">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（5000-10000]</w:t>
                  </w:r>
                </w:p>
              </w:tc>
              <w:tc>
                <w:tcPr>
                  <w:tcW w:w="2700" w:type="dxa"/>
                </w:tcPr>
                <w:p w14:paraId="6EAB2A1C">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0.25%</w:t>
                  </w:r>
                </w:p>
              </w:tc>
            </w:tr>
            <w:tr w14:paraId="20A7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95551ED">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（10000-50000]</w:t>
                  </w:r>
                </w:p>
              </w:tc>
              <w:tc>
                <w:tcPr>
                  <w:tcW w:w="2700" w:type="dxa"/>
                </w:tcPr>
                <w:p w14:paraId="43EADAB5">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0.05%</w:t>
                  </w:r>
                </w:p>
              </w:tc>
            </w:tr>
            <w:tr w14:paraId="48439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0FB9FA79">
                  <w:pPr>
                    <w:adjustRightInd w:val="0"/>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（50000-100000]</w:t>
                  </w:r>
                </w:p>
              </w:tc>
              <w:tc>
                <w:tcPr>
                  <w:tcW w:w="2700" w:type="dxa"/>
                </w:tcPr>
                <w:p w14:paraId="7EF227FF">
                  <w:pPr>
                    <w:adjustRightInd w:val="0"/>
                    <w:snapToGrid w:val="0"/>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0.035%</w:t>
                  </w:r>
                </w:p>
              </w:tc>
            </w:tr>
          </w:tbl>
          <w:p w14:paraId="5F59DA92">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注：1、代理服务费的收取按差额定率累进法计算,由中标供应商支付。</w:t>
            </w:r>
          </w:p>
          <w:p w14:paraId="5790A54B">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2、中标供应商以转账或汇款方式提交。</w:t>
            </w:r>
          </w:p>
          <w:p w14:paraId="06B7CB1B">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3、经评审，若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6A46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69C25E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7</w:t>
            </w:r>
          </w:p>
        </w:tc>
        <w:tc>
          <w:tcPr>
            <w:tcW w:w="1080" w:type="dxa"/>
            <w:tcBorders>
              <w:top w:val="single" w:color="auto" w:sz="4" w:space="0"/>
              <w:left w:val="single" w:color="auto" w:sz="4" w:space="0"/>
              <w:bottom w:val="single" w:color="auto" w:sz="4" w:space="0"/>
              <w:right w:val="single" w:color="auto" w:sz="4" w:space="0"/>
            </w:tcBorders>
            <w:vAlign w:val="center"/>
          </w:tcPr>
          <w:p w14:paraId="693D3A74">
            <w:pPr>
              <w:spacing w:line="360" w:lineRule="auto"/>
              <w:jc w:val="center"/>
              <w:rPr>
                <w:rFonts w:hint="eastAsia"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2B054D11">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监督管理部门：</w:t>
            </w:r>
            <w:r>
              <w:rPr>
                <w:rFonts w:hint="eastAsia" w:ascii="宋体" w:hAnsi="宋体" w:cs="宋体"/>
                <w:color w:val="auto"/>
                <w:sz w:val="24"/>
                <w:szCs w:val="24"/>
                <w:highlight w:val="none"/>
              </w:rPr>
              <w:t>厦门市财政局</w:t>
            </w:r>
            <w:r>
              <w:rPr>
                <w:rFonts w:hint="eastAsia" w:ascii="宋体" w:hAnsi="宋体" w:cs="宋体"/>
                <w:color w:val="auto"/>
                <w:sz w:val="24"/>
                <w:szCs w:val="24"/>
                <w:highlight w:val="none"/>
              </w:rPr>
              <w:t>。</w:t>
            </w:r>
          </w:p>
        </w:tc>
      </w:tr>
      <w:tr w14:paraId="5A4D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5F4D824">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8</w:t>
            </w:r>
          </w:p>
        </w:tc>
        <w:tc>
          <w:tcPr>
            <w:tcW w:w="1080" w:type="dxa"/>
            <w:tcBorders>
              <w:top w:val="single" w:color="auto" w:sz="4" w:space="0"/>
              <w:left w:val="single" w:color="auto" w:sz="4" w:space="0"/>
              <w:bottom w:val="single" w:color="auto" w:sz="4" w:space="0"/>
              <w:right w:val="single" w:color="auto" w:sz="4" w:space="0"/>
            </w:tcBorders>
            <w:vAlign w:val="center"/>
          </w:tcPr>
          <w:p w14:paraId="7B5D1789">
            <w:pPr>
              <w:spacing w:line="360" w:lineRule="auto"/>
              <w:jc w:val="center"/>
              <w:rPr>
                <w:rFonts w:hint="eastAsia"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58F4BCED">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是否允许进口产品参加本采购项目：</w:t>
            </w:r>
            <w:r>
              <w:rPr>
                <w:rFonts w:hint="eastAsia" w:ascii="宋体" w:hAnsi="宋体" w:cs="宋体"/>
                <w:b/>
                <w:color w:val="auto"/>
                <w:sz w:val="24"/>
                <w:szCs w:val="24"/>
                <w:highlight w:val="none"/>
              </w:rPr>
              <w:t>□</w:t>
            </w:r>
            <w:r>
              <w:rPr>
                <w:rFonts w:hint="eastAsia" w:ascii="宋体" w:hAnsi="宋体" w:cs="宋体"/>
                <w:color w:val="auto"/>
                <w:sz w:val="24"/>
                <w:szCs w:val="24"/>
                <w:highlight w:val="none"/>
              </w:rPr>
              <w:t xml:space="preserve">是/ </w:t>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eq \o\ac(</w:instrText>
            </w:r>
            <w:r>
              <w:rPr>
                <w:rFonts w:hint="eastAsia" w:ascii="宋体" w:hAnsi="宋体" w:cs="宋体"/>
                <w:color w:val="auto"/>
                <w:position w:val="-4"/>
                <w:sz w:val="36"/>
                <w:szCs w:val="24"/>
                <w:highlight w:val="none"/>
              </w:rPr>
              <w:instrText xml:space="preserve">□</w:instrText>
            </w:r>
            <w:r>
              <w:rPr>
                <w:rFonts w:hint="eastAsia" w:ascii="宋体" w:hAnsi="宋体" w:cs="宋体"/>
                <w:color w:val="auto"/>
                <w:sz w:val="24"/>
                <w:szCs w:val="24"/>
                <w:highlight w:val="none"/>
              </w:rPr>
              <w:instrText xml:space="preserve">,√)</w:instrTex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否</w:t>
            </w:r>
          </w:p>
        </w:tc>
      </w:tr>
      <w:tr w14:paraId="0E3C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6F8076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9</w:t>
            </w:r>
          </w:p>
        </w:tc>
        <w:tc>
          <w:tcPr>
            <w:tcW w:w="1080" w:type="dxa"/>
            <w:tcBorders>
              <w:top w:val="single" w:color="auto" w:sz="4" w:space="0"/>
              <w:left w:val="single" w:color="auto" w:sz="4" w:space="0"/>
              <w:bottom w:val="single" w:color="auto" w:sz="4" w:space="0"/>
              <w:right w:val="single" w:color="auto" w:sz="4" w:space="0"/>
            </w:tcBorders>
            <w:vAlign w:val="center"/>
          </w:tcPr>
          <w:p w14:paraId="6534E118">
            <w:pPr>
              <w:spacing w:line="360" w:lineRule="auto"/>
              <w:jc w:val="center"/>
              <w:rPr>
                <w:rFonts w:hint="eastAsia"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1C5FBDBA">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1、关于证明材料或资料：</w:t>
            </w:r>
          </w:p>
          <w:p w14:paraId="231805ED">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216E5619">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b.若投标人提供注明“复印件无效”或“复印无效”的证明材料或资料，应结合上文a条款进行判定，若招标文件未要求投标人提供原件，投标人提供原件，复印件（含扫描件）均视为满足招标文件要求。</w:t>
            </w:r>
          </w:p>
          <w:p w14:paraId="3C45E0B0">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2、关于“全称”、“投标人代表签字”及“加盖单位公章”：</w:t>
            </w:r>
          </w:p>
          <w:p w14:paraId="6FE98AC3">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a.在电子投标文件中，涉及“全称”和“投标人代表签字”的内容可使用打字录入方式完成。</w:t>
            </w:r>
          </w:p>
          <w:p w14:paraId="71FAE755">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b.在电子投标文件中，涉及“加盖单位公章”的内容应使用投标人的CA证书完成，否则投标无效。</w:t>
            </w:r>
          </w:p>
          <w:p w14:paraId="0F7B0472">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c.在电子投标文件中，若投标人按照第b项规定加盖其单位公章，则出现无全称、或投标人代表未签字等情形，不视为投标无效。</w:t>
            </w:r>
          </w:p>
          <w:p w14:paraId="1216C6B5">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3、关于投标截止时间过后，有下列情形之一的，其投标无效,其保证金不予退还：</w:t>
            </w:r>
          </w:p>
          <w:p w14:paraId="236C63D4">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a.不同投标人的电子投标文件具有相同内部识别码；</w:t>
            </w:r>
          </w:p>
          <w:p w14:paraId="0D50E724">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b.投标人的投标保证金同一采购包下有其他投标人提交的投标保证金；</w:t>
            </w:r>
          </w:p>
          <w:p w14:paraId="27B379C6">
            <w:pPr>
              <w:spacing w:line="360" w:lineRule="auto"/>
              <w:rPr>
                <w:rFonts w:hint="eastAsia" w:ascii="宋体" w:hAnsi="宋体" w:cs="宋体"/>
                <w:color w:val="auto"/>
                <w:sz w:val="24"/>
                <w:szCs w:val="24"/>
                <w:highlight w:val="none"/>
              </w:rPr>
            </w:pPr>
            <w:r>
              <w:rPr>
                <w:rFonts w:hint="eastAsia" w:ascii="宋体" w:hAnsi="宋体" w:cs="宋体"/>
                <w:color w:val="auto"/>
                <w:kern w:val="0"/>
                <w:sz w:val="24"/>
                <w:szCs w:val="24"/>
                <w:highlight w:val="none"/>
              </w:rPr>
              <w:t>c.不同投标人存在串通投标的其他情形。</w:t>
            </w:r>
          </w:p>
        </w:tc>
      </w:tr>
    </w:tbl>
    <w:p w14:paraId="639FCB78">
      <w:pPr>
        <w:tabs>
          <w:tab w:val="left" w:pos="-1080"/>
          <w:tab w:val="left" w:pos="180"/>
          <w:tab w:val="left" w:pos="1080"/>
        </w:tabs>
        <w:spacing w:line="360" w:lineRule="auto"/>
        <w:rPr>
          <w:rFonts w:hint="eastAsia" w:ascii="宋体" w:hAnsi="宋体" w:cs="宋体"/>
          <w:b/>
          <w:color w:val="auto"/>
          <w:sz w:val="24"/>
          <w:szCs w:val="24"/>
          <w:highlight w:val="none"/>
        </w:rPr>
      </w:pPr>
    </w:p>
    <w:p w14:paraId="235E5AA8">
      <w:pPr>
        <w:spacing w:line="360" w:lineRule="auto"/>
        <w:jc w:val="center"/>
        <w:rPr>
          <w:rFonts w:hint="eastAsia" w:ascii="宋体" w:hAnsi="宋体" w:cs="宋体"/>
          <w:b/>
          <w:bCs/>
          <w:color w:val="auto"/>
          <w:sz w:val="24"/>
          <w:szCs w:val="24"/>
          <w:highlight w:val="none"/>
          <w:u w:val="single"/>
        </w:rPr>
      </w:pPr>
    </w:p>
    <w:p w14:paraId="3BC5B90E">
      <w:pPr>
        <w:spacing w:line="360" w:lineRule="auto"/>
        <w:jc w:val="center"/>
        <w:rPr>
          <w:rFonts w:hint="eastAsia" w:ascii="宋体" w:hAnsi="宋体" w:cs="宋体"/>
          <w:b/>
          <w:bCs/>
          <w:color w:val="auto"/>
          <w:sz w:val="24"/>
          <w:szCs w:val="24"/>
          <w:highlight w:val="none"/>
          <w:u w:val="single"/>
        </w:rPr>
      </w:pPr>
    </w:p>
    <w:p w14:paraId="541B907D">
      <w:pPr>
        <w:spacing w:line="360" w:lineRule="auto"/>
        <w:jc w:val="center"/>
        <w:rPr>
          <w:rFonts w:hint="eastAsia" w:ascii="宋体" w:hAnsi="宋体" w:cs="宋体"/>
          <w:b/>
          <w:bCs/>
          <w:color w:val="auto"/>
          <w:sz w:val="24"/>
          <w:szCs w:val="24"/>
          <w:highlight w:val="none"/>
          <w:u w:val="single"/>
        </w:rPr>
      </w:pPr>
    </w:p>
    <w:p w14:paraId="3D506895">
      <w:pPr>
        <w:spacing w:line="360" w:lineRule="auto"/>
        <w:jc w:val="center"/>
        <w:rPr>
          <w:rFonts w:hint="eastAsia" w:ascii="宋体" w:hAnsi="宋体" w:cs="宋体"/>
          <w:b/>
          <w:bCs/>
          <w:color w:val="auto"/>
          <w:sz w:val="24"/>
          <w:szCs w:val="24"/>
          <w:highlight w:val="none"/>
          <w:u w:val="single"/>
        </w:rPr>
      </w:pPr>
    </w:p>
    <w:p w14:paraId="05CB1419">
      <w:pPr>
        <w:spacing w:line="360" w:lineRule="auto"/>
        <w:jc w:val="center"/>
        <w:rPr>
          <w:rFonts w:hint="eastAsia" w:ascii="宋体" w:hAnsi="宋体" w:cs="宋体"/>
          <w:b/>
          <w:bCs/>
          <w:color w:val="auto"/>
          <w:sz w:val="24"/>
          <w:szCs w:val="24"/>
          <w:highlight w:val="none"/>
          <w:u w:val="single"/>
        </w:rPr>
      </w:pPr>
    </w:p>
    <w:p w14:paraId="1CB145CE">
      <w:pPr>
        <w:spacing w:line="360" w:lineRule="auto"/>
        <w:jc w:val="center"/>
        <w:rPr>
          <w:rFonts w:hint="eastAsia" w:ascii="宋体" w:hAnsi="宋体" w:cs="宋体"/>
          <w:b/>
          <w:bCs/>
          <w:color w:val="auto"/>
          <w:sz w:val="24"/>
          <w:szCs w:val="24"/>
          <w:highlight w:val="none"/>
          <w:u w:val="single"/>
        </w:rPr>
      </w:pPr>
    </w:p>
    <w:p w14:paraId="236C83A6">
      <w:pPr>
        <w:spacing w:line="360" w:lineRule="auto"/>
        <w:jc w:val="center"/>
        <w:rPr>
          <w:rFonts w:hint="eastAsia" w:ascii="宋体" w:hAnsi="宋体" w:cs="宋体"/>
          <w:b/>
          <w:bCs/>
          <w:color w:val="auto"/>
          <w:sz w:val="32"/>
          <w:szCs w:val="32"/>
          <w:highlight w:val="none"/>
          <w:u w:val="single"/>
        </w:rPr>
      </w:pPr>
    </w:p>
    <w:p w14:paraId="5AF65452">
      <w:pPr>
        <w:spacing w:line="360" w:lineRule="auto"/>
        <w:jc w:val="center"/>
        <w:rPr>
          <w:rFonts w:hint="eastAsia" w:ascii="宋体" w:hAnsi="宋体" w:cs="宋体"/>
          <w:b/>
          <w:bCs/>
          <w:color w:val="auto"/>
          <w:sz w:val="32"/>
          <w:szCs w:val="32"/>
          <w:highlight w:val="none"/>
          <w:u w:val="single"/>
        </w:rPr>
      </w:pPr>
    </w:p>
    <w:p w14:paraId="6BC455F3">
      <w:pPr>
        <w:spacing w:line="360" w:lineRule="auto"/>
        <w:ind w:firstLine="1285" w:firstLineChars="400"/>
        <w:jc w:val="both"/>
        <w:rPr>
          <w:rFonts w:hint="eastAsia" w:ascii="宋体" w:hAnsi="宋体" w:cs="宋体"/>
          <w:b/>
          <w:bCs/>
          <w:color w:val="auto"/>
          <w:sz w:val="32"/>
          <w:szCs w:val="32"/>
          <w:highlight w:val="none"/>
          <w:u w:val="single"/>
        </w:rPr>
      </w:pPr>
    </w:p>
    <w:p w14:paraId="78EEA5CA">
      <w:pPr>
        <w:spacing w:line="360" w:lineRule="auto"/>
        <w:ind w:firstLine="1285" w:firstLineChars="400"/>
        <w:jc w:val="both"/>
        <w:rPr>
          <w:rFonts w:hint="eastAsia" w:ascii="宋体" w:hAnsi="宋体" w:cs="宋体"/>
          <w:b/>
          <w:bCs/>
          <w:color w:val="auto"/>
          <w:sz w:val="32"/>
          <w:szCs w:val="32"/>
          <w:highlight w:val="none"/>
          <w:u w:val="single"/>
        </w:rPr>
      </w:pPr>
    </w:p>
    <w:p w14:paraId="2920E74D">
      <w:pPr>
        <w:spacing w:line="360" w:lineRule="auto"/>
        <w:ind w:firstLine="1285" w:firstLineChars="400"/>
        <w:jc w:val="center"/>
        <w:rPr>
          <w:rFonts w:hint="eastAsia" w:ascii="宋体" w:hAnsi="宋体" w:cs="宋体"/>
          <w:b/>
          <w:bCs/>
          <w:color w:val="auto"/>
          <w:sz w:val="32"/>
          <w:szCs w:val="32"/>
          <w:highlight w:val="none"/>
          <w:u w:val="single"/>
        </w:rPr>
        <w:sectPr>
          <w:footerReference r:id="rId7" w:type="default"/>
          <w:pgSz w:w="11907" w:h="16840"/>
          <w:pgMar w:top="1440" w:right="1752" w:bottom="1290" w:left="1752" w:header="851" w:footer="992" w:gutter="0"/>
          <w:pgNumType w:start="1"/>
          <w:cols w:space="720" w:num="1"/>
          <w:docGrid w:linePitch="323" w:charSpace="-2"/>
        </w:sectPr>
      </w:pPr>
    </w:p>
    <w:p w14:paraId="7BC12511">
      <w:pPr>
        <w:spacing w:line="360" w:lineRule="auto"/>
        <w:ind w:firstLine="1285" w:firstLineChars="400"/>
        <w:jc w:val="both"/>
        <w:rPr>
          <w:rFonts w:hint="eastAsia" w:ascii="宋体" w:hAnsi="宋体" w:cs="宋体"/>
          <w:b/>
          <w:bCs/>
          <w:color w:val="auto"/>
          <w:sz w:val="32"/>
          <w:szCs w:val="32"/>
          <w:highlight w:val="none"/>
          <w:u w:val="single"/>
        </w:rPr>
      </w:pPr>
      <w:r>
        <w:rPr>
          <w:rFonts w:hint="eastAsia" w:ascii="宋体" w:hAnsi="宋体" w:cs="宋体"/>
          <w:b/>
          <w:bCs/>
          <w:color w:val="auto"/>
          <w:sz w:val="32"/>
          <w:szCs w:val="32"/>
          <w:highlight w:val="none"/>
          <w:u w:val="single"/>
        </w:rPr>
        <w:t>投标人须知前附表2：资格性、符合性检查表</w:t>
      </w:r>
    </w:p>
    <w:p w14:paraId="02E2FF23">
      <w:pPr>
        <w:spacing w:line="360" w:lineRule="auto"/>
        <w:ind w:firstLine="527"/>
        <w:rPr>
          <w:rFonts w:hint="eastAsia" w:ascii="宋体" w:hAnsi="宋体" w:cs="宋体"/>
          <w:color w:val="auto"/>
          <w:sz w:val="24"/>
          <w:szCs w:val="24"/>
          <w:highlight w:val="none"/>
        </w:rPr>
      </w:pPr>
      <w:r>
        <w:rPr>
          <w:rFonts w:hint="eastAsia" w:ascii="宋体" w:hAnsi="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ascii="宋体" w:hAnsi="宋体" w:cs="宋体"/>
          <w:color w:val="auto"/>
          <w:sz w:val="24"/>
          <w:szCs w:val="24"/>
          <w:highlight w:val="none"/>
        </w:rPr>
        <w:t>2</w:t>
      </w:r>
      <w:r>
        <w:rPr>
          <w:rFonts w:hint="eastAsia" w:ascii="宋体" w:hAnsi="宋体" w:cs="宋体"/>
          <w:color w:val="auto"/>
          <w:sz w:val="24"/>
          <w:szCs w:val="24"/>
          <w:highlight w:val="none"/>
        </w:rPr>
        <w:t>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2"/>
        <w:tblW w:w="8739"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696"/>
        <w:gridCol w:w="1422"/>
        <w:gridCol w:w="5925"/>
      </w:tblGrid>
      <w:tr w14:paraId="31A71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Pr>
          <w:p w14:paraId="46BBB181">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资格性要求</w:t>
            </w:r>
          </w:p>
        </w:tc>
      </w:tr>
      <w:tr w14:paraId="1F200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0A2D6AB0">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项</w:t>
            </w:r>
          </w:p>
          <w:p w14:paraId="617FE450">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号</w:t>
            </w:r>
          </w:p>
        </w:tc>
        <w:tc>
          <w:tcPr>
            <w:tcW w:w="696" w:type="dxa"/>
            <w:tcBorders>
              <w:bottom w:val="single" w:color="auto" w:sz="4" w:space="0"/>
            </w:tcBorders>
            <w:vAlign w:val="center"/>
          </w:tcPr>
          <w:p w14:paraId="686DD636">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章</w:t>
            </w:r>
          </w:p>
        </w:tc>
        <w:tc>
          <w:tcPr>
            <w:tcW w:w="1422" w:type="dxa"/>
            <w:tcBorders>
              <w:bottom w:val="single" w:color="auto" w:sz="4" w:space="0"/>
            </w:tcBorders>
            <w:vAlign w:val="center"/>
          </w:tcPr>
          <w:p w14:paraId="7091ED83">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条款号</w:t>
            </w:r>
          </w:p>
        </w:tc>
        <w:tc>
          <w:tcPr>
            <w:tcW w:w="5925" w:type="dxa"/>
            <w:tcBorders>
              <w:bottom w:val="single" w:color="auto" w:sz="4" w:space="0"/>
            </w:tcBorders>
            <w:vAlign w:val="center"/>
          </w:tcPr>
          <w:p w14:paraId="31C40526">
            <w:pPr>
              <w:tabs>
                <w:tab w:val="left" w:pos="2848"/>
              </w:tabs>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具体内容</w:t>
            </w:r>
          </w:p>
        </w:tc>
      </w:tr>
      <w:tr w14:paraId="0852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6B791D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vAlign w:val="center"/>
          </w:tcPr>
          <w:p w14:paraId="48FB6EA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389B59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5925" w:type="dxa"/>
            <w:tcBorders>
              <w:top w:val="single" w:color="auto" w:sz="4" w:space="0"/>
              <w:left w:val="single" w:color="auto" w:sz="4" w:space="0"/>
              <w:bottom w:val="single" w:color="auto" w:sz="4" w:space="0"/>
              <w:right w:val="single" w:color="auto" w:sz="4" w:space="0"/>
            </w:tcBorders>
            <w:vAlign w:val="center"/>
          </w:tcPr>
          <w:p w14:paraId="3E923DD9">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合格的投标人</w:t>
            </w:r>
          </w:p>
          <w:p w14:paraId="71214BBF">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具体内容详见第二章第3条“合格的投标人”。</w:t>
            </w:r>
          </w:p>
        </w:tc>
      </w:tr>
      <w:tr w14:paraId="61BC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625410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vAlign w:val="center"/>
          </w:tcPr>
          <w:p w14:paraId="040AAD36">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D10E53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3.1</w:t>
            </w:r>
          </w:p>
        </w:tc>
        <w:tc>
          <w:tcPr>
            <w:tcW w:w="5925" w:type="dxa"/>
            <w:tcBorders>
              <w:top w:val="single" w:color="auto" w:sz="4" w:space="0"/>
              <w:left w:val="single" w:color="auto" w:sz="4" w:space="0"/>
              <w:bottom w:val="single" w:color="auto" w:sz="4" w:space="0"/>
              <w:right w:val="single" w:color="auto" w:sz="4" w:space="0"/>
            </w:tcBorders>
            <w:vAlign w:val="center"/>
          </w:tcPr>
          <w:p w14:paraId="492EE5F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740284A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投标人应具备《中华人民共和国政府采购法》第二十二条第一款规定的条件，并提供以下材料：</w:t>
            </w:r>
          </w:p>
          <w:p w14:paraId="5C51B7BB">
            <w:pPr>
              <w:spacing w:line="360" w:lineRule="auto"/>
              <w:ind w:firstLine="319" w:firstLineChars="133"/>
              <w:rPr>
                <w:rFonts w:hint="eastAsia" w:ascii="宋体" w:hAnsi="宋体" w:cs="宋体"/>
                <w:color w:val="auto"/>
                <w:sz w:val="24"/>
                <w:szCs w:val="24"/>
                <w:highlight w:val="none"/>
              </w:rPr>
            </w:pPr>
            <w:r>
              <w:rPr>
                <w:rFonts w:hint="eastAsia" w:ascii="宋体" w:hAnsi="宋体" w:cs="宋体"/>
                <w:color w:val="auto"/>
                <w:sz w:val="24"/>
                <w:szCs w:val="24"/>
                <w:highlight w:val="none"/>
              </w:rPr>
              <w:t>（1）法人或者其他组织的营业执照等证明文件，自然人的身份证明；</w:t>
            </w:r>
          </w:p>
          <w:p w14:paraId="25B58DED">
            <w:pPr>
              <w:spacing w:line="360" w:lineRule="auto"/>
              <w:ind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rPr>
              <w:t>投标人是法人或者其他组织的应提供营业执照等证明文件，投标人是自然人的应提供有效的自然人身份证明。</w:t>
            </w:r>
          </w:p>
          <w:p w14:paraId="3C6E9590">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（2）投标人已提供加载有统一社会信用代码营业执照的，视为已提供税务登记证和组织机构代码证。</w:t>
            </w:r>
          </w:p>
          <w:p w14:paraId="4FFEDE1E">
            <w:pPr>
              <w:spacing w:line="360" w:lineRule="auto"/>
              <w:ind w:firstLine="240" w:firstLineChars="1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（3）按要求提供福建省政府采购供应商资格承诺函。</w:t>
            </w:r>
          </w:p>
        </w:tc>
      </w:tr>
      <w:tr w14:paraId="6285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448B1FD">
            <w:pPr>
              <w:spacing w:line="360" w:lineRule="auto"/>
              <w:ind w:firstLine="120" w:firstLineChars="50"/>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vAlign w:val="center"/>
          </w:tcPr>
          <w:p w14:paraId="5336032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D6808C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3.5</w:t>
            </w:r>
          </w:p>
        </w:tc>
        <w:tc>
          <w:tcPr>
            <w:tcW w:w="5925" w:type="dxa"/>
            <w:tcBorders>
              <w:top w:val="single" w:color="auto" w:sz="4" w:space="0"/>
              <w:left w:val="single" w:color="auto" w:sz="4" w:space="0"/>
              <w:bottom w:val="single" w:color="auto" w:sz="4" w:space="0"/>
              <w:right w:val="single" w:color="auto" w:sz="4" w:space="0"/>
            </w:tcBorders>
            <w:vAlign w:val="center"/>
          </w:tcPr>
          <w:p w14:paraId="1AADAEE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3.5如本项目接受联合体投标，则两个或者两个以上投标人可以组成一个投标联合体，以一个投标人的身份投标。</w:t>
            </w:r>
          </w:p>
          <w:p w14:paraId="6D4D514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5C272B7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3DABCAE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（3）项目如涉及资质要求，该部分内容应由联合体中具有该资质要求的投标人承担。联合体协议及签订的采购合同应包含此项内容。</w:t>
            </w:r>
          </w:p>
          <w:p w14:paraId="072F000C">
            <w:pPr>
              <w:spacing w:line="360" w:lineRule="auto"/>
              <w:ind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rPr>
              <w:t>（4）联合体中有同类资质的投标人按照联合体分工承担相同工作的，应当按照资质等级较低的投标人确定资质等级。</w:t>
            </w:r>
          </w:p>
        </w:tc>
      </w:tr>
      <w:tr w14:paraId="34F40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968321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vAlign w:val="center"/>
          </w:tcPr>
          <w:p w14:paraId="79BF5AB6">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0E30F6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3.6</w:t>
            </w:r>
          </w:p>
        </w:tc>
        <w:tc>
          <w:tcPr>
            <w:tcW w:w="5925" w:type="dxa"/>
            <w:tcBorders>
              <w:top w:val="single" w:color="auto" w:sz="4" w:space="0"/>
              <w:left w:val="single" w:color="auto" w:sz="4" w:space="0"/>
              <w:bottom w:val="single" w:color="auto" w:sz="4" w:space="0"/>
              <w:right w:val="single" w:color="auto" w:sz="4" w:space="0"/>
            </w:tcBorders>
            <w:vAlign w:val="center"/>
          </w:tcPr>
          <w:p w14:paraId="482401B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7BFB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156BCE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vAlign w:val="center"/>
          </w:tcPr>
          <w:p w14:paraId="64B0232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54FD0B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3.7</w:t>
            </w:r>
          </w:p>
        </w:tc>
        <w:tc>
          <w:tcPr>
            <w:tcW w:w="5925" w:type="dxa"/>
            <w:tcBorders>
              <w:top w:val="single" w:color="auto" w:sz="4" w:space="0"/>
              <w:left w:val="single" w:color="auto" w:sz="4" w:space="0"/>
              <w:bottom w:val="single" w:color="auto" w:sz="4" w:space="0"/>
              <w:right w:val="single" w:color="auto" w:sz="4" w:space="0"/>
            </w:tcBorders>
            <w:vAlign w:val="center"/>
          </w:tcPr>
          <w:p w14:paraId="4E0D219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3.7投标代理人在同一个项目中只能接受一个投标人的委托参加投标。</w:t>
            </w:r>
          </w:p>
        </w:tc>
      </w:tr>
      <w:tr w14:paraId="4D70A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3FC514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vAlign w:val="center"/>
          </w:tcPr>
          <w:p w14:paraId="5572F83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60A36D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3.9</w:t>
            </w:r>
          </w:p>
        </w:tc>
        <w:tc>
          <w:tcPr>
            <w:tcW w:w="5925" w:type="dxa"/>
            <w:tcBorders>
              <w:top w:val="single" w:color="auto" w:sz="4" w:space="0"/>
              <w:left w:val="single" w:color="auto" w:sz="4" w:space="0"/>
              <w:bottom w:val="single" w:color="auto" w:sz="4" w:space="0"/>
              <w:right w:val="single" w:color="auto" w:sz="4" w:space="0"/>
            </w:tcBorders>
            <w:vAlign w:val="center"/>
          </w:tcPr>
          <w:p w14:paraId="436788F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083D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8B2F14C">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vAlign w:val="center"/>
          </w:tcPr>
          <w:p w14:paraId="53D0DFD0">
            <w:pPr>
              <w:spacing w:line="360" w:lineRule="auto"/>
              <w:jc w:val="center"/>
              <w:rPr>
                <w:rFonts w:hint="eastAsia"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vAlign w:val="center"/>
          </w:tcPr>
          <w:p w14:paraId="741D9ED7">
            <w:pPr>
              <w:spacing w:line="360" w:lineRule="auto"/>
              <w:jc w:val="center"/>
              <w:rPr>
                <w:rFonts w:hint="eastAsia"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vAlign w:val="center"/>
          </w:tcPr>
          <w:p w14:paraId="7C537BDC">
            <w:pPr>
              <w:tabs>
                <w:tab w:val="left" w:pos="630"/>
              </w:tabs>
              <w:spacing w:line="360" w:lineRule="auto"/>
              <w:ind w:firstLine="560"/>
              <w:rPr>
                <w:rFonts w:hint="eastAsia" w:ascii="宋体" w:hAnsi="宋体" w:cs="宋体"/>
                <w:color w:val="auto"/>
                <w:sz w:val="24"/>
                <w:szCs w:val="24"/>
                <w:highlight w:val="none"/>
              </w:rPr>
            </w:pPr>
            <w:r>
              <w:rPr>
                <w:rFonts w:hint="eastAsia" w:ascii="宋体" w:hAnsi="宋体" w:cs="宋体"/>
                <w:color w:val="auto"/>
                <w:sz w:val="24"/>
                <w:szCs w:val="24"/>
                <w:highlight w:val="none"/>
              </w:rPr>
              <w:t>信用记录按照下列规定执行：信用记录的查询及审查：①由资格审查小组评审当日通过“信用中国”网站（www.creditchina.gov.cn）、中国政府采购网（www.ccgp.gov.cn）、信用中国(福建厦门)（credit.xm.gov.cn）查询并打印投标人信用记录（以下简称：“资格审查小组的查询结果”）。②</w:t>
            </w:r>
            <w:r>
              <w:rPr>
                <w:rFonts w:hint="eastAsia" w:ascii="宋体" w:hAnsi="宋体" w:cs="宋体"/>
                <w:color w:val="auto"/>
                <w:sz w:val="24"/>
                <w:szCs w:val="24"/>
                <w:highlight w:val="none"/>
              </w:rPr>
              <w:t>经查询，投标人</w:t>
            </w:r>
            <w:r>
              <w:rPr>
                <w:rFonts w:hint="eastAsia" w:ascii="宋体" w:hAnsi="宋体" w:cs="宋体"/>
                <w:color w:val="auto"/>
                <w:sz w:val="24"/>
                <w:szCs w:val="24"/>
                <w:highlight w:val="none"/>
              </w:rPr>
              <w:t>（包括联合体各方，联合体成员存在不良记录的，视同联合体存在不良信用记录，认定联合体资格审查不合格）</w:t>
            </w:r>
            <w:r>
              <w:rPr>
                <w:rFonts w:hint="eastAsia" w:ascii="宋体" w:hAnsi="宋体" w:cs="宋体"/>
                <w:color w:val="auto"/>
                <w:sz w:val="24"/>
                <w:szCs w:val="24"/>
                <w:highlight w:val="none"/>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4FCE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9F9639A">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tcPr>
          <w:p w14:paraId="0D8B491E">
            <w:pPr>
              <w:spacing w:line="360" w:lineRule="auto"/>
              <w:jc w:val="center"/>
              <w:rPr>
                <w:rFonts w:hint="eastAsia"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tcPr>
          <w:p w14:paraId="4DE71309">
            <w:pPr>
              <w:spacing w:line="360" w:lineRule="auto"/>
              <w:jc w:val="center"/>
              <w:rPr>
                <w:rFonts w:hint="eastAsia"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vAlign w:val="center"/>
          </w:tcPr>
          <w:p w14:paraId="2A2F98BE">
            <w:pPr>
              <w:spacing w:line="360" w:lineRule="auto"/>
              <w:ind w:firstLine="482" w:firstLineChars="200"/>
              <w:rPr>
                <w:rFonts w:hint="eastAsia" w:ascii="宋体" w:hAnsi="宋体" w:cs="宋体"/>
                <w:color w:val="auto"/>
                <w:sz w:val="24"/>
                <w:szCs w:val="24"/>
                <w:highlight w:val="none"/>
              </w:rPr>
            </w:pPr>
            <w:r>
              <w:rPr>
                <w:rFonts w:ascii="宋体" w:hAnsi="宋体" w:cs="宋体"/>
                <w:b/>
                <w:bCs/>
                <w:color w:val="auto"/>
                <w:sz w:val="24"/>
                <w:szCs w:val="24"/>
                <w:highlight w:val="none"/>
              </w:rPr>
              <w:t>*1、投标人应提供工商营业执照（副本）（加盖公章）的复印件，提供税务登记证及组织机构代码证复印件。投标人已提供加载有统一社会信用代码营业执照的，视为已提供税务登记证和组织机构代码证。</w:t>
            </w:r>
          </w:p>
        </w:tc>
      </w:tr>
      <w:tr w14:paraId="3BDE3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CF7AA3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tcPr>
          <w:p w14:paraId="6B5459C9">
            <w:pPr>
              <w:spacing w:line="360" w:lineRule="auto"/>
              <w:jc w:val="center"/>
              <w:rPr>
                <w:rFonts w:hint="eastAsia" w:ascii="宋体" w:hAnsi="宋体" w:cs="宋体"/>
                <w:color w:val="auto"/>
                <w:sz w:val="24"/>
                <w:szCs w:val="24"/>
                <w:highlight w:val="none"/>
              </w:rPr>
            </w:pPr>
          </w:p>
        </w:tc>
        <w:tc>
          <w:tcPr>
            <w:tcW w:w="1422" w:type="dxa"/>
            <w:tcBorders>
              <w:top w:val="single" w:color="auto" w:sz="4" w:space="0"/>
              <w:left w:val="single" w:color="auto" w:sz="4" w:space="0"/>
              <w:bottom w:val="single" w:color="auto" w:sz="4" w:space="0"/>
              <w:right w:val="single" w:color="auto" w:sz="4" w:space="0"/>
            </w:tcBorders>
          </w:tcPr>
          <w:p w14:paraId="7A5A80C8">
            <w:pPr>
              <w:spacing w:line="360" w:lineRule="auto"/>
              <w:jc w:val="center"/>
              <w:rPr>
                <w:rFonts w:hint="eastAsia" w:ascii="宋体" w:hAnsi="宋体" w:cs="宋体"/>
                <w:color w:val="auto"/>
                <w:sz w:val="24"/>
                <w:szCs w:val="24"/>
                <w:highlight w:val="none"/>
              </w:rPr>
            </w:pPr>
          </w:p>
        </w:tc>
        <w:tc>
          <w:tcPr>
            <w:tcW w:w="5925" w:type="dxa"/>
            <w:tcBorders>
              <w:top w:val="single" w:color="auto" w:sz="4" w:space="0"/>
              <w:left w:val="single" w:color="auto" w:sz="4" w:space="0"/>
              <w:bottom w:val="single" w:color="auto" w:sz="4" w:space="0"/>
              <w:right w:val="single" w:color="auto" w:sz="4" w:space="0"/>
            </w:tcBorders>
          </w:tcPr>
          <w:p w14:paraId="780011BE">
            <w:pPr>
              <w:spacing w:line="360" w:lineRule="auto"/>
              <w:ind w:firstLine="482" w:firstLineChars="200"/>
              <w:rPr>
                <w:rFonts w:hint="eastAsia" w:ascii="宋体" w:hAnsi="宋体" w:cs="宋体"/>
                <w:color w:val="auto"/>
                <w:sz w:val="24"/>
                <w:szCs w:val="24"/>
                <w:highlight w:val="none"/>
              </w:rPr>
            </w:pPr>
            <w:r>
              <w:rPr>
                <w:rFonts w:ascii="宋体" w:hAnsi="宋体" w:cs="宋体"/>
                <w:b/>
                <w:bCs/>
                <w:color w:val="auto"/>
                <w:sz w:val="24"/>
                <w:szCs w:val="24"/>
                <w:highlight w:val="none"/>
              </w:rPr>
              <w:t>*2、投标人全权代表若不是单位负责人，应提供</w:t>
            </w:r>
            <w:r>
              <w:rPr>
                <w:rFonts w:hint="eastAsia" w:ascii="宋体" w:hAnsi="宋体" w:cs="宋体"/>
                <w:b/>
                <w:bCs/>
                <w:color w:val="auto"/>
                <w:sz w:val="24"/>
                <w:szCs w:val="24"/>
                <w:highlight w:val="none"/>
              </w:rPr>
              <w:t>单位</w:t>
            </w:r>
            <w:r>
              <w:rPr>
                <w:rFonts w:ascii="宋体" w:hAnsi="宋体" w:cs="宋体"/>
                <w:b/>
                <w:bCs/>
                <w:color w:val="auto"/>
                <w:sz w:val="24"/>
                <w:szCs w:val="24"/>
                <w:highlight w:val="none"/>
              </w:rPr>
              <w:t>授权书原件，并提供被授权代表身份证复印件。</w:t>
            </w:r>
          </w:p>
        </w:tc>
      </w:tr>
      <w:tr w14:paraId="02C4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9" w:type="dxa"/>
            <w:gridSpan w:val="4"/>
            <w:tcBorders>
              <w:top w:val="single" w:color="auto" w:sz="4" w:space="0"/>
              <w:left w:val="single" w:color="auto" w:sz="4" w:space="0"/>
              <w:bottom w:val="single" w:color="auto" w:sz="4" w:space="0"/>
              <w:right w:val="single" w:color="auto" w:sz="4" w:space="0"/>
            </w:tcBorders>
            <w:vAlign w:val="center"/>
          </w:tcPr>
          <w:p w14:paraId="0CC205B0">
            <w:pPr>
              <w:spacing w:line="360" w:lineRule="auto"/>
              <w:ind w:firstLine="3373" w:firstLineChars="1400"/>
              <w:rPr>
                <w:rFonts w:hint="eastAsia" w:ascii="宋体" w:hAnsi="宋体" w:cs="宋体"/>
                <w:color w:val="auto"/>
                <w:sz w:val="24"/>
                <w:szCs w:val="24"/>
                <w:highlight w:val="none"/>
              </w:rPr>
            </w:pPr>
            <w:r>
              <w:rPr>
                <w:rFonts w:hint="eastAsia" w:ascii="宋体" w:hAnsi="宋体" w:cs="宋体"/>
                <w:b/>
                <w:color w:val="auto"/>
                <w:sz w:val="24"/>
                <w:szCs w:val="24"/>
                <w:highlight w:val="none"/>
              </w:rPr>
              <w:t>符合性要求</w:t>
            </w:r>
          </w:p>
        </w:tc>
      </w:tr>
      <w:tr w14:paraId="6093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4496AD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项号</w:t>
            </w:r>
          </w:p>
        </w:tc>
        <w:tc>
          <w:tcPr>
            <w:tcW w:w="696" w:type="dxa"/>
            <w:tcBorders>
              <w:top w:val="single" w:color="auto" w:sz="4" w:space="0"/>
              <w:left w:val="single" w:color="auto" w:sz="4" w:space="0"/>
              <w:bottom w:val="single" w:color="auto" w:sz="4" w:space="0"/>
              <w:right w:val="single" w:color="auto" w:sz="4" w:space="0"/>
            </w:tcBorders>
            <w:vAlign w:val="center"/>
          </w:tcPr>
          <w:p w14:paraId="3D4E2E9C">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章</w:t>
            </w:r>
          </w:p>
        </w:tc>
        <w:tc>
          <w:tcPr>
            <w:tcW w:w="1422" w:type="dxa"/>
            <w:tcBorders>
              <w:top w:val="single" w:color="auto" w:sz="4" w:space="0"/>
              <w:left w:val="single" w:color="auto" w:sz="4" w:space="0"/>
              <w:bottom w:val="single" w:color="auto" w:sz="4" w:space="0"/>
              <w:right w:val="single" w:color="auto" w:sz="4" w:space="0"/>
            </w:tcBorders>
            <w:vAlign w:val="center"/>
          </w:tcPr>
          <w:p w14:paraId="4FA45F3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条款号</w:t>
            </w:r>
          </w:p>
        </w:tc>
        <w:tc>
          <w:tcPr>
            <w:tcW w:w="5925" w:type="dxa"/>
            <w:tcBorders>
              <w:top w:val="single" w:color="auto" w:sz="4" w:space="0"/>
              <w:left w:val="single" w:color="auto" w:sz="4" w:space="0"/>
              <w:bottom w:val="single" w:color="auto" w:sz="4" w:space="0"/>
              <w:right w:val="single" w:color="auto" w:sz="4" w:space="0"/>
            </w:tcBorders>
            <w:vAlign w:val="center"/>
          </w:tcPr>
          <w:p w14:paraId="627A122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1E06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DA2EB6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696" w:type="dxa"/>
            <w:tcBorders>
              <w:top w:val="single" w:color="auto" w:sz="4" w:space="0"/>
              <w:left w:val="single" w:color="auto" w:sz="4" w:space="0"/>
              <w:bottom w:val="single" w:color="auto" w:sz="4" w:space="0"/>
              <w:right w:val="single" w:color="auto" w:sz="4" w:space="0"/>
            </w:tcBorders>
            <w:vAlign w:val="center"/>
          </w:tcPr>
          <w:p w14:paraId="58B6BD0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一</w:t>
            </w:r>
          </w:p>
        </w:tc>
        <w:tc>
          <w:tcPr>
            <w:tcW w:w="1422" w:type="dxa"/>
            <w:tcBorders>
              <w:top w:val="single" w:color="auto" w:sz="4" w:space="0"/>
              <w:left w:val="single" w:color="auto" w:sz="4" w:space="0"/>
              <w:bottom w:val="single" w:color="auto" w:sz="4" w:space="0"/>
              <w:right w:val="single" w:color="auto" w:sz="4" w:space="0"/>
            </w:tcBorders>
            <w:vAlign w:val="center"/>
          </w:tcPr>
          <w:p w14:paraId="2D70B63A">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5</w:t>
            </w:r>
          </w:p>
        </w:tc>
        <w:tc>
          <w:tcPr>
            <w:tcW w:w="5925" w:type="dxa"/>
            <w:tcBorders>
              <w:top w:val="single" w:color="auto" w:sz="4" w:space="0"/>
              <w:left w:val="single" w:color="auto" w:sz="4" w:space="0"/>
              <w:bottom w:val="single" w:color="auto" w:sz="4" w:space="0"/>
              <w:right w:val="single" w:color="auto" w:sz="4" w:space="0"/>
            </w:tcBorders>
          </w:tcPr>
          <w:p w14:paraId="1D752FB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投标人的投标文件未按规定的投标截止时间之前提交的，其投标将被拒绝。</w:t>
            </w:r>
          </w:p>
        </w:tc>
      </w:tr>
      <w:tr w14:paraId="05241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5F10B7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w:t>
            </w:r>
          </w:p>
        </w:tc>
        <w:tc>
          <w:tcPr>
            <w:tcW w:w="696" w:type="dxa"/>
            <w:tcBorders>
              <w:top w:val="single" w:color="auto" w:sz="4" w:space="0"/>
              <w:left w:val="single" w:color="auto" w:sz="4" w:space="0"/>
              <w:bottom w:val="single" w:color="auto" w:sz="4" w:space="0"/>
              <w:right w:val="single" w:color="auto" w:sz="4" w:space="0"/>
            </w:tcBorders>
            <w:vAlign w:val="center"/>
          </w:tcPr>
          <w:p w14:paraId="56F0EFDA">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1A9F95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3.2</w:t>
            </w:r>
          </w:p>
        </w:tc>
        <w:tc>
          <w:tcPr>
            <w:tcW w:w="5925" w:type="dxa"/>
            <w:tcBorders>
              <w:top w:val="single" w:color="auto" w:sz="4" w:space="0"/>
              <w:left w:val="single" w:color="auto" w:sz="4" w:space="0"/>
              <w:bottom w:val="single" w:color="auto" w:sz="4" w:space="0"/>
              <w:right w:val="single" w:color="auto" w:sz="4" w:space="0"/>
            </w:tcBorders>
            <w:vAlign w:val="center"/>
          </w:tcPr>
          <w:p w14:paraId="5DCE1BE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7827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57FD3E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w:t>
            </w:r>
          </w:p>
        </w:tc>
        <w:tc>
          <w:tcPr>
            <w:tcW w:w="696" w:type="dxa"/>
            <w:tcBorders>
              <w:top w:val="single" w:color="auto" w:sz="4" w:space="0"/>
              <w:left w:val="single" w:color="auto" w:sz="4" w:space="0"/>
              <w:bottom w:val="single" w:color="auto" w:sz="4" w:space="0"/>
              <w:right w:val="single" w:color="auto" w:sz="4" w:space="0"/>
            </w:tcBorders>
            <w:vAlign w:val="center"/>
          </w:tcPr>
          <w:p w14:paraId="79D1DE04">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6B42B6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3.3</w:t>
            </w:r>
          </w:p>
        </w:tc>
        <w:tc>
          <w:tcPr>
            <w:tcW w:w="5925" w:type="dxa"/>
            <w:tcBorders>
              <w:top w:val="single" w:color="auto" w:sz="4" w:space="0"/>
              <w:left w:val="single" w:color="auto" w:sz="4" w:space="0"/>
              <w:bottom w:val="single" w:color="auto" w:sz="4" w:space="0"/>
              <w:right w:val="single" w:color="auto" w:sz="4" w:space="0"/>
            </w:tcBorders>
            <w:vAlign w:val="center"/>
          </w:tcPr>
          <w:p w14:paraId="478C645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3.3一个投标人只能提交一个投标文件。如果投标人之间存在下列互为关联关系的情形之一的，不得同时参加本项目同一合同包投标：</w:t>
            </w:r>
          </w:p>
          <w:p w14:paraId="3DA9ACE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(1)法定代表人、单位负责人为同一人或夫妻关系的不同投标人；</w:t>
            </w:r>
          </w:p>
          <w:p w14:paraId="09ADA6E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(2)存在直接控股、管理关系的不同投标人；</w:t>
            </w:r>
          </w:p>
          <w:p w14:paraId="7836C64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(3)均为同一家母公司直接或间接持股50％及以上的被投资公司。</w:t>
            </w:r>
          </w:p>
        </w:tc>
      </w:tr>
      <w:tr w14:paraId="52FA9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702810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4</w:t>
            </w:r>
          </w:p>
        </w:tc>
        <w:tc>
          <w:tcPr>
            <w:tcW w:w="696" w:type="dxa"/>
            <w:tcBorders>
              <w:top w:val="single" w:color="auto" w:sz="4" w:space="0"/>
              <w:left w:val="single" w:color="auto" w:sz="4" w:space="0"/>
              <w:bottom w:val="single" w:color="auto" w:sz="4" w:space="0"/>
              <w:right w:val="single" w:color="auto" w:sz="4" w:space="0"/>
            </w:tcBorders>
            <w:vAlign w:val="center"/>
          </w:tcPr>
          <w:p w14:paraId="61C0307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30AA57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3.4</w:t>
            </w:r>
          </w:p>
        </w:tc>
        <w:tc>
          <w:tcPr>
            <w:tcW w:w="5925" w:type="dxa"/>
            <w:tcBorders>
              <w:top w:val="single" w:color="auto" w:sz="4" w:space="0"/>
              <w:left w:val="single" w:color="auto" w:sz="4" w:space="0"/>
              <w:bottom w:val="single" w:color="auto" w:sz="4" w:space="0"/>
              <w:right w:val="single" w:color="auto" w:sz="4" w:space="0"/>
            </w:tcBorders>
            <w:vAlign w:val="center"/>
          </w:tcPr>
          <w:p w14:paraId="79E3B21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6965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2FE0FD0C">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5</w:t>
            </w:r>
          </w:p>
        </w:tc>
        <w:tc>
          <w:tcPr>
            <w:tcW w:w="696" w:type="dxa"/>
            <w:tcBorders>
              <w:top w:val="single" w:color="auto" w:sz="4" w:space="0"/>
              <w:left w:val="single" w:color="auto" w:sz="4" w:space="0"/>
              <w:bottom w:val="single" w:color="auto" w:sz="4" w:space="0"/>
              <w:right w:val="single" w:color="auto" w:sz="4" w:space="0"/>
            </w:tcBorders>
            <w:vAlign w:val="center"/>
          </w:tcPr>
          <w:p w14:paraId="01F1AB2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201BA2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3.8</w:t>
            </w:r>
          </w:p>
        </w:tc>
        <w:tc>
          <w:tcPr>
            <w:tcW w:w="5925" w:type="dxa"/>
            <w:tcBorders>
              <w:top w:val="single" w:color="auto" w:sz="4" w:space="0"/>
              <w:left w:val="single" w:color="auto" w:sz="4" w:space="0"/>
              <w:bottom w:val="single" w:color="auto" w:sz="4" w:space="0"/>
              <w:right w:val="single" w:color="auto" w:sz="4" w:space="0"/>
            </w:tcBorders>
            <w:vAlign w:val="center"/>
          </w:tcPr>
          <w:p w14:paraId="46BC953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3.8投标人存在下列情形之一的，将被认定为串通投标行为并作无效投标处理：</w:t>
            </w:r>
          </w:p>
          <w:p w14:paraId="305054B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（1）投标人之间协商投标报价等投标文件的实质性内容；</w:t>
            </w:r>
          </w:p>
          <w:p w14:paraId="66ADE15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（2）投标人之间约定中标供应商；</w:t>
            </w:r>
          </w:p>
          <w:p w14:paraId="26F0EFA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（3）投标人之间约定部分投标人放弃投标或者中标；</w:t>
            </w:r>
          </w:p>
          <w:p w14:paraId="700032F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（4）属于同一集团、协会、商会等组织成员的投标人按照该组织要求协同投标；</w:t>
            </w:r>
          </w:p>
          <w:p w14:paraId="0800CE8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（5）投标人之间为谋取中标或者排斥特定投标人而采取的其他联合行动；</w:t>
            </w:r>
          </w:p>
          <w:p w14:paraId="5527950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（6）不同投标人的投标文件由同一单位或者个人编制；</w:t>
            </w:r>
          </w:p>
          <w:p w14:paraId="10EC4F1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（7）不同投标人委托同一单位或者个人办理投标事宜；</w:t>
            </w:r>
          </w:p>
          <w:p w14:paraId="74FECE7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（8）不同投标人的投标文件载明的项目管理成员或者联系人员为同一人；</w:t>
            </w:r>
          </w:p>
          <w:p w14:paraId="0214A29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（9）不同投标人的投标文件异常一致或者投标报价呈规律性差异；</w:t>
            </w:r>
          </w:p>
          <w:p w14:paraId="7A47962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（10）不同投标人的投标文件相互混装；</w:t>
            </w:r>
          </w:p>
          <w:p w14:paraId="69CBDAC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（11）不同投标人的投标保证金从同一单位或者个人的账户转出。</w:t>
            </w:r>
          </w:p>
          <w:p w14:paraId="719B883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（12）不同投标人的投标文件错、漏之处一致或雷同，且不能合理解释的；</w:t>
            </w:r>
          </w:p>
          <w:p w14:paraId="04BBED8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（13）不同的投标人的法定代表人、委托代理人等由同一个单位缴纳社会保险的；</w:t>
            </w:r>
          </w:p>
          <w:p w14:paraId="5D0B8F1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（14）由同一人或分别由几个有</w:t>
            </w:r>
            <w:r>
              <w:rPr>
                <w:rFonts w:hint="eastAsia" w:ascii="宋体" w:hAnsi="宋体" w:cs="宋体"/>
                <w:color w:val="auto"/>
                <w:sz w:val="24"/>
                <w:szCs w:val="24"/>
                <w:highlight w:val="none"/>
              </w:rPr>
              <w:t>利害关系的人</w:t>
            </w:r>
            <w:r>
              <w:rPr>
                <w:rFonts w:hint="eastAsia" w:ascii="宋体" w:hAnsi="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14:paraId="4C585A3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（15）有关法律、法规或规章规定的其他串通投标行为。</w:t>
            </w:r>
          </w:p>
        </w:tc>
      </w:tr>
      <w:tr w14:paraId="2CFC0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2EBE18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6</w:t>
            </w:r>
          </w:p>
        </w:tc>
        <w:tc>
          <w:tcPr>
            <w:tcW w:w="696" w:type="dxa"/>
            <w:tcBorders>
              <w:top w:val="single" w:color="auto" w:sz="4" w:space="0"/>
              <w:left w:val="single" w:color="auto" w:sz="4" w:space="0"/>
              <w:bottom w:val="single" w:color="auto" w:sz="4" w:space="0"/>
              <w:right w:val="single" w:color="auto" w:sz="4" w:space="0"/>
            </w:tcBorders>
            <w:vAlign w:val="center"/>
          </w:tcPr>
          <w:p w14:paraId="234E722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E9B6FA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8.1</w:t>
            </w:r>
          </w:p>
        </w:tc>
        <w:tc>
          <w:tcPr>
            <w:tcW w:w="5925" w:type="dxa"/>
            <w:tcBorders>
              <w:top w:val="single" w:color="auto" w:sz="4" w:space="0"/>
              <w:left w:val="single" w:color="auto" w:sz="4" w:space="0"/>
              <w:bottom w:val="single" w:color="auto" w:sz="4" w:space="0"/>
              <w:right w:val="single" w:color="auto" w:sz="4" w:space="0"/>
            </w:tcBorders>
          </w:tcPr>
          <w:p w14:paraId="3D0BEB3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8.1投标人应仔细阅读供应商操作手册和招标文件的所有内容，按照相关要求提交投标文件。</w:t>
            </w:r>
            <w:r>
              <w:rPr>
                <w:rFonts w:hint="eastAsia" w:ascii="宋体" w:hAnsi="宋体" w:cs="宋体"/>
                <w:b/>
                <w:color w:val="auto"/>
                <w:sz w:val="24"/>
                <w:szCs w:val="24"/>
                <w:highlight w:val="none"/>
              </w:rPr>
              <w:t>投标文件应对招标文件的要求作出实质性响应，并保证所提供的全部资料的真实性，否则其投标将被拒绝。</w:t>
            </w:r>
          </w:p>
        </w:tc>
      </w:tr>
      <w:tr w14:paraId="617D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5EA84A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7</w:t>
            </w:r>
          </w:p>
        </w:tc>
        <w:tc>
          <w:tcPr>
            <w:tcW w:w="696" w:type="dxa"/>
            <w:tcBorders>
              <w:top w:val="single" w:color="auto" w:sz="4" w:space="0"/>
              <w:left w:val="single" w:color="auto" w:sz="4" w:space="0"/>
              <w:bottom w:val="single" w:color="auto" w:sz="4" w:space="0"/>
              <w:right w:val="single" w:color="auto" w:sz="4" w:space="0"/>
            </w:tcBorders>
            <w:vAlign w:val="center"/>
          </w:tcPr>
          <w:p w14:paraId="09F4475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6B89876">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8.2</w:t>
            </w:r>
          </w:p>
        </w:tc>
        <w:tc>
          <w:tcPr>
            <w:tcW w:w="5925" w:type="dxa"/>
            <w:tcBorders>
              <w:top w:val="single" w:color="auto" w:sz="4" w:space="0"/>
              <w:left w:val="single" w:color="auto" w:sz="4" w:space="0"/>
              <w:bottom w:val="single" w:color="auto" w:sz="4" w:space="0"/>
              <w:right w:val="single" w:color="auto" w:sz="4" w:space="0"/>
            </w:tcBorders>
          </w:tcPr>
          <w:p w14:paraId="5B85A4B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2EFF4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D92C30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8</w:t>
            </w:r>
          </w:p>
        </w:tc>
        <w:tc>
          <w:tcPr>
            <w:tcW w:w="696" w:type="dxa"/>
            <w:tcBorders>
              <w:top w:val="single" w:color="auto" w:sz="4" w:space="0"/>
              <w:left w:val="single" w:color="auto" w:sz="4" w:space="0"/>
              <w:bottom w:val="single" w:color="auto" w:sz="4" w:space="0"/>
              <w:right w:val="single" w:color="auto" w:sz="4" w:space="0"/>
            </w:tcBorders>
            <w:vAlign w:val="center"/>
          </w:tcPr>
          <w:p w14:paraId="1018A45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2129FDAA">
            <w:pPr>
              <w:spacing w:line="360" w:lineRule="auto"/>
              <w:jc w:val="center"/>
              <w:rPr>
                <w:rFonts w:hint="eastAsia" w:ascii="宋体" w:hAnsi="宋体" w:cs="宋体"/>
                <w:color w:val="auto"/>
                <w:sz w:val="24"/>
                <w:szCs w:val="24"/>
                <w:highlight w:val="none"/>
              </w:rPr>
            </w:pPr>
            <w:r>
              <w:rPr>
                <w:rFonts w:hint="eastAsia" w:ascii="宋体" w:hAnsi="宋体" w:cs="宋体"/>
                <w:b/>
                <w:color w:val="auto"/>
                <w:sz w:val="24"/>
                <w:szCs w:val="24"/>
                <w:highlight w:val="none"/>
              </w:rPr>
              <w:t>10.2</w:t>
            </w:r>
          </w:p>
        </w:tc>
        <w:tc>
          <w:tcPr>
            <w:tcW w:w="5925" w:type="dxa"/>
            <w:tcBorders>
              <w:top w:val="single" w:color="auto" w:sz="4" w:space="0"/>
              <w:left w:val="single" w:color="auto" w:sz="4" w:space="0"/>
              <w:bottom w:val="single" w:color="auto" w:sz="4" w:space="0"/>
              <w:right w:val="single" w:color="auto" w:sz="4" w:space="0"/>
            </w:tcBorders>
            <w:vAlign w:val="center"/>
          </w:tcPr>
          <w:p w14:paraId="016B4F24">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10.2投标文件必须包括下列部分，否则其投标将按照无效投标处理：</w:t>
            </w:r>
          </w:p>
          <w:p w14:paraId="242C908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 投 标 书</w:t>
            </w:r>
          </w:p>
          <w:p w14:paraId="2D68BA5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 投标分项报价表</w:t>
            </w:r>
          </w:p>
          <w:p w14:paraId="720A446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 货物说明一览表</w:t>
            </w:r>
          </w:p>
          <w:p w14:paraId="07DF3E8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(4) 供货范围清单 </w:t>
            </w:r>
          </w:p>
          <w:p w14:paraId="7209169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 技术和商务响应表</w:t>
            </w:r>
          </w:p>
          <w:p w14:paraId="3853353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 投标人的资格证明文件</w:t>
            </w:r>
          </w:p>
          <w:p w14:paraId="1B3C80E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授权函</w:t>
            </w:r>
          </w:p>
          <w:p w14:paraId="773D50C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投标人的资格声明</w:t>
            </w:r>
          </w:p>
          <w:p w14:paraId="3AAF658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单位授权书</w:t>
            </w:r>
          </w:p>
          <w:p w14:paraId="1D18715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(7)代理服务费承诺书</w:t>
            </w:r>
          </w:p>
          <w:p w14:paraId="37F66DB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 开标一览表</w:t>
            </w:r>
          </w:p>
          <w:p w14:paraId="4461DB07">
            <w:pPr>
              <w:spacing w:line="360" w:lineRule="auto"/>
              <w:ind w:firstLine="480" w:firstLineChars="200"/>
              <w:rPr>
                <w:rFonts w:hint="eastAsia" w:ascii="宋体" w:hAnsi="宋体" w:cs="宋体"/>
                <w:color w:val="auto"/>
                <w:sz w:val="24"/>
                <w:szCs w:val="24"/>
                <w:highlight w:val="none"/>
              </w:rPr>
            </w:pPr>
          </w:p>
        </w:tc>
      </w:tr>
      <w:tr w14:paraId="677F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F6A357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9</w:t>
            </w:r>
          </w:p>
        </w:tc>
        <w:tc>
          <w:tcPr>
            <w:tcW w:w="696" w:type="dxa"/>
            <w:tcBorders>
              <w:top w:val="single" w:color="auto" w:sz="4" w:space="0"/>
              <w:left w:val="single" w:color="auto" w:sz="4" w:space="0"/>
              <w:bottom w:val="single" w:color="auto" w:sz="4" w:space="0"/>
              <w:right w:val="single" w:color="auto" w:sz="4" w:space="0"/>
            </w:tcBorders>
            <w:vAlign w:val="center"/>
          </w:tcPr>
          <w:p w14:paraId="7F4CB28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790C50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11.1</w:t>
            </w:r>
          </w:p>
        </w:tc>
        <w:tc>
          <w:tcPr>
            <w:tcW w:w="5925" w:type="dxa"/>
            <w:tcBorders>
              <w:top w:val="single" w:color="auto" w:sz="4" w:space="0"/>
              <w:left w:val="single" w:color="auto" w:sz="4" w:space="0"/>
              <w:bottom w:val="single" w:color="auto" w:sz="4" w:space="0"/>
              <w:right w:val="single" w:color="auto" w:sz="4" w:space="0"/>
            </w:tcBorders>
            <w:vAlign w:val="center"/>
          </w:tcPr>
          <w:p w14:paraId="45D7FFB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11.1投标有效期：投标截止之日起</w:t>
            </w:r>
            <w:r>
              <w:rPr>
                <w:rFonts w:hint="eastAsia" w:ascii="宋体" w:hAnsi="宋体" w:cs="宋体"/>
                <w:color w:val="auto"/>
                <w:sz w:val="24"/>
                <w:szCs w:val="24"/>
                <w:highlight w:val="none"/>
                <w:u w:val="single"/>
              </w:rPr>
              <w:t>180</w:t>
            </w:r>
            <w:r>
              <w:rPr>
                <w:rFonts w:hint="eastAsia" w:ascii="宋体" w:hAnsi="宋体" w:cs="宋体"/>
                <w:color w:val="auto"/>
                <w:sz w:val="24"/>
                <w:szCs w:val="24"/>
                <w:highlight w:val="none"/>
              </w:rPr>
              <w:t>个日历日。有效期不足将导致其投标文件被拒绝。</w:t>
            </w:r>
          </w:p>
        </w:tc>
      </w:tr>
      <w:tr w14:paraId="4979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BB523C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10</w:t>
            </w:r>
          </w:p>
        </w:tc>
        <w:tc>
          <w:tcPr>
            <w:tcW w:w="696" w:type="dxa"/>
            <w:tcBorders>
              <w:top w:val="single" w:color="auto" w:sz="4" w:space="0"/>
              <w:left w:val="single" w:color="auto" w:sz="4" w:space="0"/>
              <w:bottom w:val="single" w:color="auto" w:sz="4" w:space="0"/>
              <w:right w:val="single" w:color="auto" w:sz="4" w:space="0"/>
            </w:tcBorders>
            <w:vAlign w:val="center"/>
          </w:tcPr>
          <w:p w14:paraId="6EEBBF8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32B96ED5">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12.5</w:t>
            </w:r>
          </w:p>
        </w:tc>
        <w:tc>
          <w:tcPr>
            <w:tcW w:w="5925" w:type="dxa"/>
            <w:tcBorders>
              <w:top w:val="single" w:color="auto" w:sz="4" w:space="0"/>
              <w:left w:val="single" w:color="auto" w:sz="4" w:space="0"/>
              <w:bottom w:val="single" w:color="auto" w:sz="4" w:space="0"/>
              <w:right w:val="single" w:color="auto" w:sz="4" w:space="0"/>
            </w:tcBorders>
            <w:vAlign w:val="center"/>
          </w:tcPr>
          <w:p w14:paraId="071DD79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12.5未按要求缴交投标保证金的投标，将被视为无效投标。</w:t>
            </w:r>
          </w:p>
        </w:tc>
      </w:tr>
      <w:tr w14:paraId="4D15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638AB6A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11</w:t>
            </w:r>
          </w:p>
        </w:tc>
        <w:tc>
          <w:tcPr>
            <w:tcW w:w="696" w:type="dxa"/>
            <w:tcBorders>
              <w:top w:val="single" w:color="auto" w:sz="4" w:space="0"/>
              <w:left w:val="single" w:color="auto" w:sz="4" w:space="0"/>
              <w:bottom w:val="single" w:color="auto" w:sz="4" w:space="0"/>
              <w:right w:val="single" w:color="auto" w:sz="4" w:space="0"/>
            </w:tcBorders>
            <w:vAlign w:val="center"/>
          </w:tcPr>
          <w:p w14:paraId="3462F22A">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8DF4B84">
            <w:pPr>
              <w:spacing w:line="360" w:lineRule="auto"/>
              <w:jc w:val="center"/>
              <w:rPr>
                <w:rFonts w:hint="eastAsia" w:ascii="宋体" w:hAnsi="宋体" w:cs="宋体"/>
                <w:color w:val="auto"/>
                <w:sz w:val="24"/>
                <w:szCs w:val="24"/>
                <w:highlight w:val="none"/>
              </w:rPr>
            </w:pPr>
            <w:r>
              <w:rPr>
                <w:rFonts w:hint="eastAsia" w:ascii="宋体" w:hAnsi="宋体" w:cs="宋体"/>
                <w:b/>
                <w:color w:val="auto"/>
                <w:sz w:val="24"/>
                <w:szCs w:val="24"/>
                <w:highlight w:val="none"/>
              </w:rPr>
              <w:t>14.3</w:t>
            </w:r>
          </w:p>
        </w:tc>
        <w:tc>
          <w:tcPr>
            <w:tcW w:w="5925" w:type="dxa"/>
            <w:tcBorders>
              <w:top w:val="single" w:color="auto" w:sz="4" w:space="0"/>
              <w:left w:val="single" w:color="auto" w:sz="4" w:space="0"/>
              <w:bottom w:val="single" w:color="auto" w:sz="4" w:space="0"/>
              <w:right w:val="single" w:color="auto" w:sz="4" w:space="0"/>
            </w:tcBorders>
          </w:tcPr>
          <w:p w14:paraId="2EA4706E">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14.3投标文件应在投标截止时间前上传成功，已上传但未提示上传成功的投标无效。</w:t>
            </w:r>
          </w:p>
        </w:tc>
      </w:tr>
      <w:tr w14:paraId="71EEA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3C65284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12</w:t>
            </w:r>
          </w:p>
        </w:tc>
        <w:tc>
          <w:tcPr>
            <w:tcW w:w="696" w:type="dxa"/>
            <w:tcBorders>
              <w:top w:val="single" w:color="auto" w:sz="4" w:space="0"/>
              <w:left w:val="single" w:color="auto" w:sz="4" w:space="0"/>
              <w:bottom w:val="single" w:color="auto" w:sz="4" w:space="0"/>
              <w:right w:val="single" w:color="auto" w:sz="4" w:space="0"/>
            </w:tcBorders>
            <w:vAlign w:val="center"/>
          </w:tcPr>
          <w:p w14:paraId="0A9A8A7D">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A51D583">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15.3.2</w:t>
            </w:r>
          </w:p>
        </w:tc>
        <w:tc>
          <w:tcPr>
            <w:tcW w:w="5925" w:type="dxa"/>
            <w:tcBorders>
              <w:top w:val="single" w:color="auto" w:sz="4" w:space="0"/>
              <w:left w:val="single" w:color="auto" w:sz="4" w:space="0"/>
              <w:bottom w:val="single" w:color="auto" w:sz="4" w:space="0"/>
              <w:right w:val="single" w:color="auto" w:sz="4" w:space="0"/>
            </w:tcBorders>
          </w:tcPr>
          <w:p w14:paraId="758CFD5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15.3.2上传成功但解密失败或读取失败的“开标一览表”，其投标人的投标无效。</w:t>
            </w:r>
          </w:p>
        </w:tc>
      </w:tr>
      <w:tr w14:paraId="26888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7C353ED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13</w:t>
            </w:r>
          </w:p>
        </w:tc>
        <w:tc>
          <w:tcPr>
            <w:tcW w:w="696" w:type="dxa"/>
            <w:tcBorders>
              <w:top w:val="single" w:color="auto" w:sz="4" w:space="0"/>
              <w:left w:val="single" w:color="auto" w:sz="4" w:space="0"/>
              <w:bottom w:val="single" w:color="auto" w:sz="4" w:space="0"/>
              <w:right w:val="single" w:color="auto" w:sz="4" w:space="0"/>
            </w:tcBorders>
            <w:vAlign w:val="center"/>
          </w:tcPr>
          <w:p w14:paraId="732C702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7AACA320">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15.3.3</w:t>
            </w:r>
          </w:p>
        </w:tc>
        <w:tc>
          <w:tcPr>
            <w:tcW w:w="5925" w:type="dxa"/>
            <w:tcBorders>
              <w:top w:val="single" w:color="auto" w:sz="4" w:space="0"/>
              <w:left w:val="single" w:color="auto" w:sz="4" w:space="0"/>
              <w:bottom w:val="single" w:color="auto" w:sz="4" w:space="0"/>
              <w:right w:val="single" w:color="auto" w:sz="4" w:space="0"/>
            </w:tcBorders>
          </w:tcPr>
          <w:p w14:paraId="676D0D1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5F95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0841110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14</w:t>
            </w:r>
          </w:p>
        </w:tc>
        <w:tc>
          <w:tcPr>
            <w:tcW w:w="696" w:type="dxa"/>
            <w:tcBorders>
              <w:top w:val="single" w:color="auto" w:sz="4" w:space="0"/>
              <w:left w:val="single" w:color="auto" w:sz="4" w:space="0"/>
              <w:bottom w:val="single" w:color="auto" w:sz="4" w:space="0"/>
              <w:right w:val="single" w:color="auto" w:sz="4" w:space="0"/>
            </w:tcBorders>
            <w:vAlign w:val="center"/>
          </w:tcPr>
          <w:p w14:paraId="4C714E4D">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4BD1A696">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17.</w:t>
            </w:r>
          </w:p>
        </w:tc>
        <w:tc>
          <w:tcPr>
            <w:tcW w:w="5925" w:type="dxa"/>
            <w:tcBorders>
              <w:top w:val="single" w:color="auto" w:sz="4" w:space="0"/>
              <w:left w:val="single" w:color="auto" w:sz="4" w:space="0"/>
              <w:bottom w:val="single" w:color="auto" w:sz="4" w:space="0"/>
              <w:right w:val="single" w:color="auto" w:sz="4" w:space="0"/>
            </w:tcBorders>
          </w:tcPr>
          <w:p w14:paraId="1907D5CC">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2DB3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16B9AAE5">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15</w:t>
            </w:r>
          </w:p>
        </w:tc>
        <w:tc>
          <w:tcPr>
            <w:tcW w:w="696" w:type="dxa"/>
            <w:tcBorders>
              <w:top w:val="single" w:color="auto" w:sz="4" w:space="0"/>
              <w:left w:val="single" w:color="auto" w:sz="4" w:space="0"/>
              <w:bottom w:val="single" w:color="auto" w:sz="4" w:space="0"/>
              <w:right w:val="single" w:color="auto" w:sz="4" w:space="0"/>
            </w:tcBorders>
            <w:vAlign w:val="center"/>
          </w:tcPr>
          <w:p w14:paraId="480FB13A">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62A4351E">
            <w:pPr>
              <w:spacing w:line="360" w:lineRule="auto"/>
              <w:jc w:val="center"/>
              <w:rPr>
                <w:rFonts w:hint="eastAsia" w:ascii="宋体" w:hAnsi="宋体" w:cs="宋体"/>
                <w:b/>
                <w:color w:val="auto"/>
                <w:sz w:val="24"/>
                <w:szCs w:val="24"/>
                <w:highlight w:val="none"/>
              </w:rPr>
            </w:pPr>
            <w:r>
              <w:rPr>
                <w:rFonts w:hint="eastAsia" w:ascii="宋体" w:hAnsi="宋体" w:cs="宋体"/>
                <w:color w:val="auto"/>
                <w:sz w:val="24"/>
                <w:szCs w:val="24"/>
                <w:highlight w:val="none"/>
              </w:rPr>
              <w:t>17.2</w:t>
            </w:r>
          </w:p>
        </w:tc>
        <w:tc>
          <w:tcPr>
            <w:tcW w:w="5925" w:type="dxa"/>
            <w:tcBorders>
              <w:top w:val="single" w:color="auto" w:sz="4" w:space="0"/>
              <w:left w:val="single" w:color="auto" w:sz="4" w:space="0"/>
              <w:bottom w:val="single" w:color="auto" w:sz="4" w:space="0"/>
              <w:right w:val="single" w:color="auto" w:sz="4" w:space="0"/>
            </w:tcBorders>
          </w:tcPr>
          <w:p w14:paraId="41CF8415">
            <w:pPr>
              <w:spacing w:line="360" w:lineRule="auto"/>
              <w:ind w:firstLine="480" w:firstLineChars="200"/>
              <w:rPr>
                <w:rFonts w:hint="eastAsia" w:ascii="宋体" w:hAnsi="宋体" w:cs="宋体"/>
                <w:b/>
                <w:color w:val="auto"/>
                <w:sz w:val="24"/>
                <w:szCs w:val="24"/>
                <w:highlight w:val="none"/>
              </w:rPr>
            </w:pPr>
            <w:r>
              <w:rPr>
                <w:rFonts w:hint="eastAsia" w:ascii="宋体" w:hAnsi="宋体" w:cs="宋体"/>
                <w:color w:val="auto"/>
                <w:sz w:val="24"/>
                <w:szCs w:val="24"/>
                <w:highlight w:val="none"/>
              </w:rPr>
              <w:t>17.2</w:t>
            </w:r>
            <w:r>
              <w:rPr>
                <w:rFonts w:hint="eastAsia" w:ascii="宋体" w:hAnsi="宋体" w:cs="宋体"/>
                <w:b/>
                <w:color w:val="auto"/>
                <w:sz w:val="24"/>
                <w:szCs w:val="24"/>
                <w:highlight w:val="none"/>
              </w:rPr>
              <w:t>如果投标人不接受按上述方法对投标文件中的算术错误进行更正，其投标将按照无效投标处理并被没收投标保证金。</w:t>
            </w:r>
          </w:p>
        </w:tc>
      </w:tr>
      <w:tr w14:paraId="6B724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5CDF91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16</w:t>
            </w:r>
          </w:p>
        </w:tc>
        <w:tc>
          <w:tcPr>
            <w:tcW w:w="696" w:type="dxa"/>
            <w:tcBorders>
              <w:top w:val="single" w:color="auto" w:sz="4" w:space="0"/>
              <w:left w:val="single" w:color="auto" w:sz="4" w:space="0"/>
              <w:bottom w:val="single" w:color="auto" w:sz="4" w:space="0"/>
              <w:right w:val="single" w:color="auto" w:sz="4" w:space="0"/>
            </w:tcBorders>
            <w:vAlign w:val="center"/>
          </w:tcPr>
          <w:p w14:paraId="11D2454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5A4A7352">
            <w:pPr>
              <w:spacing w:line="360" w:lineRule="auto"/>
              <w:jc w:val="center"/>
              <w:rPr>
                <w:rFonts w:hint="eastAsia" w:ascii="宋体" w:hAnsi="宋体" w:cs="宋体"/>
                <w:b/>
                <w:color w:val="auto"/>
                <w:sz w:val="24"/>
                <w:szCs w:val="24"/>
                <w:highlight w:val="none"/>
              </w:rPr>
            </w:pPr>
            <w:r>
              <w:rPr>
                <w:rFonts w:hint="eastAsia" w:ascii="宋体" w:hAnsi="宋体" w:cs="宋体"/>
                <w:color w:val="auto"/>
                <w:sz w:val="24"/>
                <w:szCs w:val="24"/>
                <w:highlight w:val="none"/>
              </w:rPr>
              <w:t>17.3.2</w:t>
            </w:r>
          </w:p>
        </w:tc>
        <w:tc>
          <w:tcPr>
            <w:tcW w:w="5925" w:type="dxa"/>
            <w:tcBorders>
              <w:top w:val="single" w:color="auto" w:sz="4" w:space="0"/>
              <w:left w:val="single" w:color="auto" w:sz="4" w:space="0"/>
              <w:bottom w:val="single" w:color="auto" w:sz="4" w:space="0"/>
              <w:right w:val="single" w:color="auto" w:sz="4" w:space="0"/>
            </w:tcBorders>
          </w:tcPr>
          <w:p w14:paraId="0EA7BE1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可根据具体项目的情况对实质性要求作特别的规定。）实质性偏离是指：（1）实质性影响合同的范围、质量和履行；（2）实质性违背招标文件，限制了采购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0AF6813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 未按规定提交投标保证金的；</w:t>
            </w:r>
          </w:p>
          <w:p w14:paraId="68F2783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(2)投标有效期不满足招标文件要求的；</w:t>
            </w:r>
          </w:p>
          <w:p w14:paraId="1241ABF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(3)投标内容与招标内容及要求有重大偏离或保留的；</w:t>
            </w:r>
          </w:p>
          <w:p w14:paraId="3B5644E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(4)投标人提交的是可选择的报价；</w:t>
            </w:r>
          </w:p>
          <w:p w14:paraId="77A10B3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(5)投标人未按招标文件要求对投标进行分项报价；</w:t>
            </w:r>
          </w:p>
          <w:p w14:paraId="3F75110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(6)投标文件中提供虚假或失实资料的；</w:t>
            </w:r>
          </w:p>
          <w:p w14:paraId="76F2A4D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(7)不符合招标文件中规定的其它实质性条款。 </w:t>
            </w:r>
          </w:p>
          <w:p w14:paraId="515528A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评标委员会决定投标的响应性只根据投标文件本身的内容，而不寻求其他的外部证据。</w:t>
            </w:r>
          </w:p>
        </w:tc>
      </w:tr>
      <w:tr w14:paraId="4C78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4D0AE3F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17</w:t>
            </w:r>
          </w:p>
        </w:tc>
        <w:tc>
          <w:tcPr>
            <w:tcW w:w="696" w:type="dxa"/>
            <w:tcBorders>
              <w:top w:val="single" w:color="auto" w:sz="4" w:space="0"/>
              <w:left w:val="single" w:color="auto" w:sz="4" w:space="0"/>
              <w:bottom w:val="single" w:color="auto" w:sz="4" w:space="0"/>
              <w:right w:val="single" w:color="auto" w:sz="4" w:space="0"/>
            </w:tcBorders>
            <w:vAlign w:val="center"/>
          </w:tcPr>
          <w:p w14:paraId="73692EC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511218B">
            <w:pPr>
              <w:spacing w:line="360" w:lineRule="auto"/>
              <w:jc w:val="center"/>
              <w:rPr>
                <w:rFonts w:hint="eastAsia" w:ascii="宋体" w:hAnsi="宋体" w:cs="宋体"/>
                <w:color w:val="auto"/>
                <w:sz w:val="24"/>
                <w:szCs w:val="24"/>
                <w:highlight w:val="none"/>
              </w:rPr>
            </w:pPr>
            <w:r>
              <w:rPr>
                <w:rFonts w:hint="eastAsia" w:ascii="宋体" w:hAnsi="宋体" w:cs="宋体"/>
                <w:b/>
                <w:color w:val="auto"/>
                <w:sz w:val="24"/>
                <w:szCs w:val="24"/>
                <w:highlight w:val="none"/>
              </w:rPr>
              <w:t>17.3.3</w:t>
            </w:r>
          </w:p>
        </w:tc>
        <w:tc>
          <w:tcPr>
            <w:tcW w:w="5925" w:type="dxa"/>
            <w:tcBorders>
              <w:top w:val="single" w:color="auto" w:sz="4" w:space="0"/>
              <w:left w:val="single" w:color="auto" w:sz="4" w:space="0"/>
              <w:bottom w:val="single" w:color="auto" w:sz="4" w:space="0"/>
              <w:right w:val="single" w:color="auto" w:sz="4" w:space="0"/>
            </w:tcBorders>
          </w:tcPr>
          <w:p w14:paraId="3C7E3F98">
            <w:pPr>
              <w:spacing w:line="360" w:lineRule="auto"/>
              <w:ind w:firstLine="482" w:firstLineChars="200"/>
              <w:rPr>
                <w:rFonts w:hint="eastAsia" w:ascii="宋体" w:hAnsi="宋体" w:cs="宋体"/>
                <w:color w:val="auto"/>
                <w:sz w:val="24"/>
                <w:szCs w:val="24"/>
                <w:highlight w:val="none"/>
              </w:rPr>
            </w:pPr>
            <w:r>
              <w:rPr>
                <w:rFonts w:hint="eastAsia" w:ascii="宋体" w:hAnsi="宋体" w:cs="宋体"/>
                <w:b/>
                <w:color w:val="auto"/>
                <w:sz w:val="24"/>
                <w:szCs w:val="24"/>
                <w:highlight w:val="none"/>
              </w:rPr>
              <w:t>17.3.3投标产品必须满足中华人民共和国相关法律法规及行业的强制性要求，否则该投标人的投标将按照无效投标处理。</w:t>
            </w:r>
          </w:p>
        </w:tc>
      </w:tr>
      <w:tr w14:paraId="5D22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top w:val="single" w:color="auto" w:sz="4" w:space="0"/>
              <w:left w:val="single" w:color="auto" w:sz="4" w:space="0"/>
              <w:bottom w:val="single" w:color="auto" w:sz="4" w:space="0"/>
              <w:right w:val="single" w:color="auto" w:sz="4" w:space="0"/>
            </w:tcBorders>
            <w:vAlign w:val="center"/>
          </w:tcPr>
          <w:p w14:paraId="538460C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18</w:t>
            </w:r>
          </w:p>
        </w:tc>
        <w:tc>
          <w:tcPr>
            <w:tcW w:w="696" w:type="dxa"/>
            <w:tcBorders>
              <w:top w:val="single" w:color="auto" w:sz="4" w:space="0"/>
              <w:left w:val="single" w:color="auto" w:sz="4" w:space="0"/>
              <w:bottom w:val="single" w:color="auto" w:sz="4" w:space="0"/>
              <w:right w:val="single" w:color="auto" w:sz="4" w:space="0"/>
            </w:tcBorders>
            <w:vAlign w:val="center"/>
          </w:tcPr>
          <w:p w14:paraId="73302CC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left w:val="single" w:color="auto" w:sz="4" w:space="0"/>
              <w:bottom w:val="single" w:color="auto" w:sz="4" w:space="0"/>
              <w:right w:val="single" w:color="auto" w:sz="4" w:space="0"/>
            </w:tcBorders>
            <w:vAlign w:val="center"/>
          </w:tcPr>
          <w:p w14:paraId="03F3D09B">
            <w:pPr>
              <w:spacing w:line="360" w:lineRule="auto"/>
              <w:jc w:val="center"/>
              <w:rPr>
                <w:rFonts w:hint="eastAsia" w:ascii="宋体" w:hAnsi="宋体" w:cs="宋体"/>
                <w:color w:val="auto"/>
                <w:sz w:val="24"/>
                <w:szCs w:val="24"/>
                <w:highlight w:val="none"/>
              </w:rPr>
            </w:pPr>
            <w:r>
              <w:rPr>
                <w:rFonts w:hint="eastAsia" w:ascii="宋体" w:hAnsi="宋体" w:cs="宋体"/>
                <w:b/>
                <w:color w:val="auto"/>
                <w:sz w:val="24"/>
                <w:szCs w:val="24"/>
                <w:highlight w:val="none"/>
              </w:rPr>
              <w:t>17.3.4</w:t>
            </w:r>
          </w:p>
        </w:tc>
        <w:tc>
          <w:tcPr>
            <w:tcW w:w="5925" w:type="dxa"/>
            <w:tcBorders>
              <w:top w:val="single" w:color="auto" w:sz="4" w:space="0"/>
              <w:left w:val="single" w:color="auto" w:sz="4" w:space="0"/>
              <w:bottom w:val="single" w:color="auto" w:sz="4" w:space="0"/>
              <w:right w:val="single" w:color="auto" w:sz="4" w:space="0"/>
            </w:tcBorders>
            <w:vAlign w:val="center"/>
          </w:tcPr>
          <w:p w14:paraId="0631F552">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17.3.4投标人以他人名义投标或使用自己的数字证书上传其他投标人的投标文件，</w:t>
            </w:r>
            <w:r>
              <w:rPr>
                <w:rFonts w:hint="eastAsia" w:ascii="宋体" w:hAnsi="宋体" w:cs="宋体"/>
                <w:b/>
                <w:color w:val="auto"/>
                <w:kern w:val="0"/>
                <w:sz w:val="24"/>
                <w:szCs w:val="24"/>
                <w:highlight w:val="none"/>
              </w:rPr>
              <w:t>则</w:t>
            </w:r>
            <w:r>
              <w:rPr>
                <w:rFonts w:hint="eastAsia" w:ascii="宋体" w:hAnsi="宋体" w:cs="宋体"/>
                <w:b/>
                <w:color w:val="auto"/>
                <w:sz w:val="24"/>
                <w:szCs w:val="24"/>
                <w:highlight w:val="none"/>
              </w:rPr>
              <w:t>该投标人的投标将按照无效投标处理。</w:t>
            </w:r>
          </w:p>
        </w:tc>
      </w:tr>
      <w:tr w14:paraId="40FE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696" w:type="dxa"/>
            <w:tcBorders>
              <w:top w:val="single" w:color="auto" w:sz="4" w:space="0"/>
            </w:tcBorders>
            <w:vAlign w:val="center"/>
          </w:tcPr>
          <w:p w14:paraId="4A926B3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19</w:t>
            </w:r>
          </w:p>
        </w:tc>
        <w:tc>
          <w:tcPr>
            <w:tcW w:w="696" w:type="dxa"/>
            <w:tcBorders>
              <w:top w:val="single" w:color="auto" w:sz="4" w:space="0"/>
            </w:tcBorders>
            <w:vAlign w:val="center"/>
          </w:tcPr>
          <w:p w14:paraId="2B71420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tcBorders>
              <w:top w:val="single" w:color="auto" w:sz="4" w:space="0"/>
            </w:tcBorders>
            <w:vAlign w:val="center"/>
          </w:tcPr>
          <w:p w14:paraId="1133DB9D">
            <w:pPr>
              <w:spacing w:line="360" w:lineRule="auto"/>
              <w:jc w:val="center"/>
              <w:rPr>
                <w:rFonts w:hint="eastAsia" w:ascii="宋体" w:hAnsi="宋体" w:cs="宋体"/>
                <w:color w:val="auto"/>
                <w:sz w:val="24"/>
                <w:szCs w:val="24"/>
                <w:highlight w:val="none"/>
              </w:rPr>
            </w:pPr>
            <w:r>
              <w:rPr>
                <w:rFonts w:hint="eastAsia" w:ascii="宋体" w:hAnsi="宋体" w:cs="宋体"/>
                <w:b/>
                <w:color w:val="auto"/>
                <w:sz w:val="24"/>
                <w:szCs w:val="24"/>
                <w:highlight w:val="none"/>
              </w:rPr>
              <w:t>17.3.5</w:t>
            </w:r>
          </w:p>
        </w:tc>
        <w:tc>
          <w:tcPr>
            <w:tcW w:w="5925" w:type="dxa"/>
            <w:tcBorders>
              <w:top w:val="single" w:color="auto" w:sz="4" w:space="0"/>
            </w:tcBorders>
            <w:vAlign w:val="center"/>
          </w:tcPr>
          <w:p w14:paraId="2F568D4E">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2ACF6A4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（1）在开标前开启投标文件并将有关信息泄露给其他投标人;</w:t>
            </w:r>
          </w:p>
          <w:p w14:paraId="7954AA5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（2）评审结果公告前，直接或者间接向投标人泄露评标委员会成员等信息；</w:t>
            </w:r>
          </w:p>
          <w:p w14:paraId="0D2D95C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（3）明示或者暗示投标人压低或者抬高投标报价；</w:t>
            </w:r>
          </w:p>
          <w:p w14:paraId="427F3AC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（4）授意投标人撤换、修改投标文件（按18条进行的澄清除外）；</w:t>
            </w:r>
          </w:p>
          <w:p w14:paraId="597E561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（5）明示或者暗示投标人为特定投标人中标提供方便；</w:t>
            </w:r>
          </w:p>
          <w:p w14:paraId="3E17F34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（6）为谋求特定投标人中标而采取的其他串通行为。</w:t>
            </w:r>
          </w:p>
        </w:tc>
      </w:tr>
      <w:tr w14:paraId="19A4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6DD220FB">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20</w:t>
            </w:r>
          </w:p>
        </w:tc>
        <w:tc>
          <w:tcPr>
            <w:tcW w:w="696" w:type="dxa"/>
            <w:vAlign w:val="center"/>
          </w:tcPr>
          <w:p w14:paraId="1EC08387">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2AB5DB35">
            <w:pPr>
              <w:spacing w:line="360" w:lineRule="auto"/>
              <w:jc w:val="center"/>
              <w:rPr>
                <w:rFonts w:hint="eastAsia" w:ascii="宋体" w:hAnsi="宋体" w:cs="宋体"/>
                <w:color w:val="auto"/>
                <w:sz w:val="24"/>
                <w:szCs w:val="24"/>
                <w:highlight w:val="none"/>
              </w:rPr>
            </w:pPr>
            <w:r>
              <w:rPr>
                <w:rFonts w:hint="eastAsia" w:ascii="宋体" w:hAnsi="宋体" w:cs="宋体"/>
                <w:b/>
                <w:color w:val="auto"/>
                <w:kern w:val="0"/>
                <w:sz w:val="24"/>
                <w:szCs w:val="24"/>
                <w:highlight w:val="none"/>
              </w:rPr>
              <w:t>17.3.6</w:t>
            </w:r>
          </w:p>
        </w:tc>
        <w:tc>
          <w:tcPr>
            <w:tcW w:w="5925" w:type="dxa"/>
            <w:vAlign w:val="center"/>
          </w:tcPr>
          <w:p w14:paraId="584F31F6">
            <w:pPr>
              <w:spacing w:line="360" w:lineRule="auto"/>
              <w:jc w:val="left"/>
              <w:rPr>
                <w:rFonts w:hint="eastAsia" w:ascii="宋体" w:hAnsi="宋体" w:cs="宋体"/>
                <w:color w:val="auto"/>
                <w:sz w:val="24"/>
                <w:szCs w:val="24"/>
                <w:highlight w:val="none"/>
              </w:rPr>
            </w:pPr>
            <w:r>
              <w:rPr>
                <w:rFonts w:hint="eastAsia" w:ascii="宋体" w:hAnsi="宋体" w:cs="宋体"/>
                <w:b/>
                <w:color w:val="auto"/>
                <w:kern w:val="0"/>
                <w:sz w:val="24"/>
                <w:szCs w:val="24"/>
                <w:highlight w:val="none"/>
              </w:rPr>
              <w:t>17.3.6出现17.3.4、17.3.5情形之一的，作无效投标处理的</w:t>
            </w:r>
            <w:r>
              <w:rPr>
                <w:rFonts w:hint="eastAsia" w:ascii="宋体" w:hAnsi="宋体" w:cs="宋体"/>
                <w:b/>
                <w:color w:val="auto"/>
                <w:sz w:val="24"/>
                <w:szCs w:val="24"/>
                <w:highlight w:val="none"/>
              </w:rPr>
              <w:t>投标人的投标保证金将予以没收，招标代理机构有权上报财政部门取消其采购供应商资格、并按有关规定予以处罚。</w:t>
            </w:r>
          </w:p>
        </w:tc>
      </w:tr>
      <w:tr w14:paraId="326C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34F5CB7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21</w:t>
            </w:r>
          </w:p>
        </w:tc>
        <w:tc>
          <w:tcPr>
            <w:tcW w:w="696" w:type="dxa"/>
            <w:vAlign w:val="center"/>
          </w:tcPr>
          <w:p w14:paraId="72A588FB">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6B5C02E8">
            <w:pPr>
              <w:spacing w:line="360" w:lineRule="auto"/>
              <w:jc w:val="center"/>
              <w:rPr>
                <w:rFonts w:hint="eastAsia" w:ascii="宋体" w:hAnsi="宋体" w:cs="宋体"/>
                <w:color w:val="auto"/>
                <w:sz w:val="24"/>
                <w:szCs w:val="24"/>
                <w:highlight w:val="none"/>
              </w:rPr>
            </w:pPr>
            <w:r>
              <w:rPr>
                <w:rFonts w:hint="eastAsia" w:ascii="宋体" w:hAnsi="宋体" w:cs="宋体"/>
                <w:b/>
                <w:color w:val="auto"/>
                <w:sz w:val="24"/>
                <w:szCs w:val="24"/>
                <w:highlight w:val="none"/>
              </w:rPr>
              <w:t>19.3</w:t>
            </w:r>
          </w:p>
        </w:tc>
        <w:tc>
          <w:tcPr>
            <w:tcW w:w="5925" w:type="dxa"/>
            <w:vAlign w:val="center"/>
          </w:tcPr>
          <w:p w14:paraId="789DB83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38C9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0B6736E0">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22</w:t>
            </w:r>
          </w:p>
        </w:tc>
        <w:tc>
          <w:tcPr>
            <w:tcW w:w="696" w:type="dxa"/>
            <w:vAlign w:val="center"/>
          </w:tcPr>
          <w:p w14:paraId="2826700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二</w:t>
            </w:r>
          </w:p>
        </w:tc>
        <w:tc>
          <w:tcPr>
            <w:tcW w:w="1422" w:type="dxa"/>
            <w:vAlign w:val="center"/>
          </w:tcPr>
          <w:p w14:paraId="39454EDD">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22</w:t>
            </w:r>
          </w:p>
        </w:tc>
        <w:tc>
          <w:tcPr>
            <w:tcW w:w="5925" w:type="dxa"/>
            <w:vAlign w:val="center"/>
          </w:tcPr>
          <w:p w14:paraId="5E9FE6B4">
            <w:pPr>
              <w:spacing w:line="360" w:lineRule="auto"/>
              <w:ind w:firstLine="480" w:firstLineChars="200"/>
              <w:rPr>
                <w:rFonts w:hint="eastAsia" w:ascii="宋体" w:hAnsi="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cs="宋体"/>
                <w:color w:val="auto"/>
                <w:sz w:val="24"/>
                <w:szCs w:val="24"/>
                <w:highlight w:val="none"/>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p>
        </w:tc>
      </w:tr>
      <w:tr w14:paraId="3541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66D3A304">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23</w:t>
            </w:r>
          </w:p>
        </w:tc>
        <w:tc>
          <w:tcPr>
            <w:tcW w:w="696" w:type="dxa"/>
            <w:vAlign w:val="center"/>
          </w:tcPr>
          <w:p w14:paraId="00171462">
            <w:pPr>
              <w:spacing w:line="360" w:lineRule="auto"/>
              <w:jc w:val="center"/>
              <w:rPr>
                <w:rFonts w:hint="eastAsia" w:ascii="宋体" w:hAnsi="宋体" w:cs="宋体"/>
                <w:color w:val="auto"/>
                <w:sz w:val="24"/>
                <w:szCs w:val="24"/>
                <w:highlight w:val="none"/>
              </w:rPr>
            </w:pPr>
          </w:p>
        </w:tc>
        <w:tc>
          <w:tcPr>
            <w:tcW w:w="1422" w:type="dxa"/>
            <w:vAlign w:val="center"/>
          </w:tcPr>
          <w:p w14:paraId="0F77547B">
            <w:pPr>
              <w:spacing w:line="360" w:lineRule="auto"/>
              <w:jc w:val="center"/>
              <w:rPr>
                <w:rFonts w:hint="eastAsia" w:ascii="宋体" w:hAnsi="宋体" w:cs="宋体"/>
                <w:color w:val="auto"/>
                <w:sz w:val="24"/>
                <w:szCs w:val="24"/>
                <w:highlight w:val="none"/>
              </w:rPr>
            </w:pPr>
          </w:p>
        </w:tc>
        <w:tc>
          <w:tcPr>
            <w:tcW w:w="5925" w:type="dxa"/>
            <w:vAlign w:val="center"/>
          </w:tcPr>
          <w:p w14:paraId="13880E7C">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投标人如果为联合体投标，则必须同时满足下列要求，否则</w:t>
            </w:r>
            <w:r>
              <w:rPr>
                <w:rFonts w:hint="eastAsia" w:ascii="宋体" w:hAnsi="宋体" w:cs="宋体"/>
                <w:color w:val="auto"/>
                <w:sz w:val="24"/>
                <w:szCs w:val="24"/>
                <w:highlight w:val="none"/>
              </w:rPr>
              <w:t>该投标人的投标将按照无效投标处理</w:t>
            </w:r>
            <w:r>
              <w:rPr>
                <w:rFonts w:hint="eastAsia" w:ascii="宋体" w:hAnsi="宋体" w:cs="宋体"/>
                <w:bCs/>
                <w:color w:val="auto"/>
                <w:sz w:val="24"/>
                <w:szCs w:val="24"/>
                <w:highlight w:val="none"/>
              </w:rPr>
              <w:t>：</w:t>
            </w:r>
          </w:p>
          <w:p w14:paraId="47716943">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①在开标一览表中注明是否联合体投标、联合体组成单位；</w:t>
            </w:r>
          </w:p>
          <w:p w14:paraId="5A25C6EB">
            <w:pPr>
              <w:spacing w:line="360" w:lineRule="auto"/>
              <w:jc w:val="left"/>
              <w:rPr>
                <w:rFonts w:hint="eastAsia" w:ascii="宋体" w:hAnsi="宋体" w:cs="宋体"/>
                <w:color w:val="auto"/>
                <w:sz w:val="24"/>
                <w:szCs w:val="24"/>
                <w:highlight w:val="none"/>
              </w:rPr>
            </w:pPr>
            <w:r>
              <w:rPr>
                <w:rFonts w:hint="eastAsia" w:ascii="宋体" w:hAnsi="宋体" w:cs="宋体"/>
                <w:bCs/>
                <w:color w:val="auto"/>
                <w:sz w:val="24"/>
                <w:szCs w:val="24"/>
                <w:highlight w:val="none"/>
              </w:rPr>
              <w:t>②在投标文件中提供各方盖章签署的共同投标协议扫描件。</w:t>
            </w:r>
          </w:p>
        </w:tc>
      </w:tr>
      <w:tr w14:paraId="3E7D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22DA878F">
            <w:pPr>
              <w:pStyle w:val="3"/>
              <w:snapToGrid w:val="0"/>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24</w:t>
            </w:r>
          </w:p>
        </w:tc>
        <w:tc>
          <w:tcPr>
            <w:tcW w:w="696" w:type="dxa"/>
            <w:vAlign w:val="center"/>
          </w:tcPr>
          <w:p w14:paraId="416B5910">
            <w:pPr>
              <w:spacing w:line="360" w:lineRule="auto"/>
              <w:jc w:val="center"/>
              <w:rPr>
                <w:rFonts w:hint="eastAsia" w:ascii="宋体" w:hAnsi="宋体" w:cs="宋体"/>
                <w:color w:val="auto"/>
                <w:sz w:val="24"/>
                <w:szCs w:val="24"/>
                <w:highlight w:val="none"/>
              </w:rPr>
            </w:pPr>
          </w:p>
        </w:tc>
        <w:tc>
          <w:tcPr>
            <w:tcW w:w="1422" w:type="dxa"/>
            <w:vAlign w:val="center"/>
          </w:tcPr>
          <w:p w14:paraId="6E3ADDF2">
            <w:pPr>
              <w:spacing w:line="360" w:lineRule="auto"/>
              <w:jc w:val="center"/>
              <w:rPr>
                <w:rFonts w:hint="eastAsia" w:ascii="宋体" w:hAnsi="宋体" w:cs="宋体"/>
                <w:color w:val="auto"/>
                <w:sz w:val="24"/>
                <w:szCs w:val="24"/>
                <w:highlight w:val="none"/>
              </w:rPr>
            </w:pPr>
          </w:p>
        </w:tc>
        <w:tc>
          <w:tcPr>
            <w:tcW w:w="5925" w:type="dxa"/>
            <w:vAlign w:val="center"/>
          </w:tcPr>
          <w:p w14:paraId="08A70154">
            <w:pPr>
              <w:spacing w:line="360" w:lineRule="auto"/>
              <w:jc w:val="left"/>
              <w:rPr>
                <w:rFonts w:hint="eastAsia" w:ascii="宋体" w:hAnsi="宋体" w:cs="宋体"/>
                <w:color w:val="auto"/>
                <w:sz w:val="24"/>
                <w:szCs w:val="24"/>
                <w:highlight w:val="none"/>
              </w:rPr>
            </w:pPr>
            <w:r>
              <w:rPr>
                <w:rFonts w:hint="eastAsia" w:ascii="宋体" w:hAnsi="宋体" w:cs="宋体"/>
                <w:bCs/>
                <w:color w:val="auto"/>
                <w:sz w:val="24"/>
                <w:szCs w:val="24"/>
                <w:highlight w:val="none"/>
              </w:rPr>
              <w:t>投标文件中不得附有采购单位（或使用单位）不能接受的条款，</w:t>
            </w:r>
            <w:r>
              <w:rPr>
                <w:rFonts w:hint="eastAsia" w:ascii="宋体" w:hAnsi="宋体" w:cs="宋体"/>
                <w:color w:val="auto"/>
                <w:sz w:val="24"/>
                <w:szCs w:val="24"/>
                <w:highlight w:val="none"/>
              </w:rPr>
              <w:t>否则该投标人的投标将按照无效投标处理。</w:t>
            </w:r>
          </w:p>
        </w:tc>
      </w:tr>
      <w:tr w14:paraId="4612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5EB2D83C">
            <w:pPr>
              <w:pStyle w:val="3"/>
              <w:snapToGrid w:val="0"/>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25</w:t>
            </w:r>
          </w:p>
        </w:tc>
        <w:tc>
          <w:tcPr>
            <w:tcW w:w="696" w:type="dxa"/>
            <w:vAlign w:val="center"/>
          </w:tcPr>
          <w:p w14:paraId="1A59206D">
            <w:pPr>
              <w:pStyle w:val="3"/>
              <w:snapToGrid w:val="0"/>
              <w:spacing w:line="360" w:lineRule="auto"/>
              <w:ind w:firstLine="0"/>
              <w:jc w:val="center"/>
              <w:rPr>
                <w:rFonts w:hint="eastAsia" w:ascii="宋体" w:hAnsi="宋体" w:cs="宋体"/>
                <w:color w:val="auto"/>
                <w:sz w:val="24"/>
                <w:szCs w:val="24"/>
                <w:highlight w:val="none"/>
              </w:rPr>
            </w:pPr>
          </w:p>
        </w:tc>
        <w:tc>
          <w:tcPr>
            <w:tcW w:w="1422" w:type="dxa"/>
            <w:vAlign w:val="center"/>
          </w:tcPr>
          <w:p w14:paraId="46DC172E">
            <w:pPr>
              <w:pStyle w:val="3"/>
              <w:snapToGrid w:val="0"/>
              <w:spacing w:line="360" w:lineRule="auto"/>
              <w:ind w:firstLine="0"/>
              <w:jc w:val="center"/>
              <w:rPr>
                <w:rFonts w:hint="eastAsia" w:ascii="宋体" w:hAnsi="宋体" w:cs="宋体"/>
                <w:b/>
                <w:color w:val="auto"/>
                <w:sz w:val="24"/>
                <w:szCs w:val="24"/>
                <w:highlight w:val="none"/>
              </w:rPr>
            </w:pPr>
          </w:p>
        </w:tc>
        <w:tc>
          <w:tcPr>
            <w:tcW w:w="5925" w:type="dxa"/>
            <w:vAlign w:val="center"/>
          </w:tcPr>
          <w:p w14:paraId="74245F58">
            <w:pPr>
              <w:pStyle w:val="3"/>
              <w:snapToGrid w:val="0"/>
              <w:spacing w:line="360" w:lineRule="auto"/>
              <w:ind w:firstLine="0"/>
              <w:jc w:val="left"/>
              <w:rPr>
                <w:rFonts w:hint="eastAsia" w:ascii="宋体" w:hAnsi="宋体" w:cs="宋体"/>
                <w:b/>
                <w:color w:val="auto"/>
                <w:sz w:val="24"/>
                <w:szCs w:val="24"/>
                <w:highlight w:val="none"/>
              </w:rPr>
            </w:pPr>
            <w:r>
              <w:rPr>
                <w:rFonts w:hint="eastAsia" w:ascii="宋体" w:hAnsi="宋体" w:cs="宋体"/>
                <w:bCs/>
                <w:color w:val="auto"/>
                <w:sz w:val="24"/>
                <w:szCs w:val="24"/>
                <w:highlight w:val="none"/>
              </w:rPr>
              <w:t>本项目以合同包为单位，对于每个合同包，投标人必须完整地提供合同包要求的所有货物和服务，否则</w:t>
            </w:r>
            <w:r>
              <w:rPr>
                <w:rFonts w:hint="eastAsia" w:ascii="宋体" w:hAnsi="宋体" w:cs="宋体"/>
                <w:color w:val="auto"/>
                <w:sz w:val="24"/>
                <w:szCs w:val="24"/>
                <w:highlight w:val="none"/>
              </w:rPr>
              <w:t>该投标人针对该合同包的投标将按照无效投标处理</w:t>
            </w:r>
            <w:r>
              <w:rPr>
                <w:rFonts w:hint="eastAsia" w:ascii="宋体" w:hAnsi="宋体" w:cs="宋体"/>
                <w:bCs/>
                <w:color w:val="auto"/>
                <w:sz w:val="24"/>
                <w:szCs w:val="24"/>
                <w:highlight w:val="none"/>
              </w:rPr>
              <w:t>。</w:t>
            </w:r>
          </w:p>
        </w:tc>
      </w:tr>
      <w:tr w14:paraId="18E9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5DBBF5E7">
            <w:pPr>
              <w:pStyle w:val="3"/>
              <w:snapToGrid w:val="0"/>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26</w:t>
            </w:r>
          </w:p>
        </w:tc>
        <w:tc>
          <w:tcPr>
            <w:tcW w:w="696" w:type="dxa"/>
            <w:vAlign w:val="center"/>
          </w:tcPr>
          <w:p w14:paraId="0D82EDAE">
            <w:pPr>
              <w:pStyle w:val="3"/>
              <w:snapToGrid w:val="0"/>
              <w:spacing w:line="360" w:lineRule="auto"/>
              <w:ind w:firstLine="0"/>
              <w:jc w:val="center"/>
              <w:rPr>
                <w:rFonts w:hint="eastAsia" w:ascii="宋体" w:hAnsi="宋体" w:cs="宋体"/>
                <w:b/>
                <w:color w:val="auto"/>
                <w:sz w:val="24"/>
                <w:szCs w:val="24"/>
                <w:highlight w:val="none"/>
              </w:rPr>
            </w:pPr>
          </w:p>
        </w:tc>
        <w:tc>
          <w:tcPr>
            <w:tcW w:w="1422" w:type="dxa"/>
            <w:vAlign w:val="center"/>
          </w:tcPr>
          <w:p w14:paraId="73A10B3B">
            <w:pPr>
              <w:pStyle w:val="3"/>
              <w:snapToGrid w:val="0"/>
              <w:spacing w:line="360" w:lineRule="auto"/>
              <w:ind w:firstLine="0"/>
              <w:jc w:val="center"/>
              <w:rPr>
                <w:rFonts w:hint="eastAsia" w:ascii="宋体" w:hAnsi="宋体" w:cs="宋体"/>
                <w:b/>
                <w:color w:val="auto"/>
                <w:sz w:val="24"/>
                <w:szCs w:val="24"/>
                <w:highlight w:val="none"/>
              </w:rPr>
            </w:pPr>
          </w:p>
        </w:tc>
        <w:tc>
          <w:tcPr>
            <w:tcW w:w="5925" w:type="dxa"/>
            <w:vAlign w:val="center"/>
          </w:tcPr>
          <w:p w14:paraId="385744EC">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投标人应对其在投标文件中声明的关于中小企业事项的真实性负责，存在以下情形之一的，经评标委员会查实，应认定存在虚假的：</w:t>
            </w:r>
          </w:p>
          <w:p w14:paraId="42812EE8">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（1）投标人（包括联合体任一方）不符合“工信部联企业[2011]300号”规定的中小企业标准的；</w:t>
            </w:r>
          </w:p>
          <w:p w14:paraId="2C5AA424">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（2）投标货物全部或部分为使用大型企业注册商标的货物的；</w:t>
            </w:r>
          </w:p>
          <w:p w14:paraId="7C41AFC4">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（3）投标文件中标明的小型或微型企业产品的制造商不符合“工信部联企业[2011]300号”规定的小型和微型企业标准的。</w:t>
            </w:r>
          </w:p>
          <w:p w14:paraId="2C2B7846">
            <w:pPr>
              <w:pStyle w:val="3"/>
              <w:snapToGrid w:val="0"/>
              <w:spacing w:line="360" w:lineRule="auto"/>
              <w:ind w:firstLine="0"/>
              <w:jc w:val="left"/>
              <w:rPr>
                <w:rFonts w:hint="eastAsia" w:ascii="宋体" w:hAnsi="宋体" w:cs="宋体"/>
                <w:b/>
                <w:color w:val="auto"/>
                <w:sz w:val="24"/>
                <w:szCs w:val="24"/>
                <w:highlight w:val="none"/>
              </w:rPr>
            </w:pPr>
            <w:r>
              <w:rPr>
                <w:rFonts w:hint="eastAsia" w:ascii="宋体" w:hAnsi="宋体" w:cs="宋体"/>
                <w:bCs/>
                <w:color w:val="auto"/>
                <w:sz w:val="24"/>
                <w:szCs w:val="24"/>
                <w:highlight w:val="none"/>
              </w:rPr>
              <w:t>在评审过程中发现上述虚假情形的，该投标人的投标作无效投标处理。</w:t>
            </w:r>
          </w:p>
        </w:tc>
      </w:tr>
      <w:tr w14:paraId="4ED5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14:paraId="7D016187">
            <w:pPr>
              <w:pStyle w:val="3"/>
              <w:snapToGrid w:val="0"/>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27</w:t>
            </w:r>
          </w:p>
        </w:tc>
        <w:tc>
          <w:tcPr>
            <w:tcW w:w="696" w:type="dxa"/>
            <w:vAlign w:val="center"/>
          </w:tcPr>
          <w:p w14:paraId="5A9786ED">
            <w:pPr>
              <w:pStyle w:val="3"/>
              <w:snapToGrid w:val="0"/>
              <w:spacing w:line="360" w:lineRule="auto"/>
              <w:ind w:firstLine="0"/>
              <w:jc w:val="center"/>
              <w:rPr>
                <w:rFonts w:hint="eastAsia" w:ascii="宋体" w:hAnsi="宋体" w:cs="宋体"/>
                <w:b/>
                <w:color w:val="auto"/>
                <w:sz w:val="24"/>
                <w:szCs w:val="24"/>
                <w:highlight w:val="none"/>
              </w:rPr>
            </w:pPr>
          </w:p>
        </w:tc>
        <w:tc>
          <w:tcPr>
            <w:tcW w:w="1422" w:type="dxa"/>
            <w:vAlign w:val="center"/>
          </w:tcPr>
          <w:p w14:paraId="26DE8C54">
            <w:pPr>
              <w:pStyle w:val="3"/>
              <w:snapToGrid w:val="0"/>
              <w:spacing w:line="360" w:lineRule="auto"/>
              <w:ind w:firstLine="0"/>
              <w:jc w:val="center"/>
              <w:rPr>
                <w:rFonts w:hint="eastAsia" w:ascii="宋体" w:hAnsi="宋体" w:cs="宋体"/>
                <w:b/>
                <w:color w:val="auto"/>
                <w:sz w:val="24"/>
                <w:szCs w:val="24"/>
                <w:highlight w:val="none"/>
              </w:rPr>
            </w:pPr>
          </w:p>
        </w:tc>
        <w:tc>
          <w:tcPr>
            <w:tcW w:w="5925" w:type="dxa"/>
            <w:vAlign w:val="center"/>
          </w:tcPr>
          <w:p w14:paraId="78372BAC">
            <w:pPr>
              <w:pStyle w:val="3"/>
              <w:snapToGrid w:val="0"/>
              <w:spacing w:line="360" w:lineRule="auto"/>
              <w:ind w:firstLine="0"/>
              <w:jc w:val="left"/>
              <w:rPr>
                <w:rFonts w:hint="eastAsia" w:ascii="宋体" w:hAnsi="宋体" w:cs="宋体"/>
                <w:color w:val="auto"/>
                <w:sz w:val="24"/>
                <w:szCs w:val="24"/>
                <w:highlight w:val="none"/>
              </w:rPr>
            </w:pPr>
            <w:r>
              <w:rPr>
                <w:rFonts w:hint="eastAsia" w:ascii="宋体" w:hAnsi="宋体" w:cs="宋体"/>
                <w:bCs/>
                <w:color w:val="auto"/>
                <w:sz w:val="24"/>
                <w:szCs w:val="24"/>
                <w:highlight w:val="none"/>
              </w:rPr>
              <w:t>全免交纳投标保证金的投标人未按照招标文件格式要求在投标文件中提供《中小企业声明函》的，其投标作无效投标处理。</w:t>
            </w:r>
          </w:p>
        </w:tc>
      </w:tr>
      <w:tr w14:paraId="131C8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60C0BE59">
            <w:pPr>
              <w:pStyle w:val="3"/>
              <w:snapToGrid w:val="0"/>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28</w:t>
            </w:r>
          </w:p>
        </w:tc>
        <w:tc>
          <w:tcPr>
            <w:tcW w:w="696" w:type="dxa"/>
            <w:tcBorders>
              <w:bottom w:val="single" w:color="auto" w:sz="4" w:space="0"/>
            </w:tcBorders>
            <w:vAlign w:val="center"/>
          </w:tcPr>
          <w:p w14:paraId="4355DF5A">
            <w:pPr>
              <w:pStyle w:val="3"/>
              <w:snapToGrid w:val="0"/>
              <w:spacing w:line="360" w:lineRule="auto"/>
              <w:ind w:firstLine="0"/>
              <w:jc w:val="center"/>
              <w:rPr>
                <w:rFonts w:hint="eastAsia" w:ascii="宋体" w:hAnsi="宋体" w:cs="宋体"/>
                <w:b/>
                <w:color w:val="auto"/>
                <w:sz w:val="24"/>
                <w:szCs w:val="24"/>
                <w:highlight w:val="none"/>
              </w:rPr>
            </w:pPr>
          </w:p>
        </w:tc>
        <w:tc>
          <w:tcPr>
            <w:tcW w:w="1422" w:type="dxa"/>
            <w:tcBorders>
              <w:bottom w:val="single" w:color="auto" w:sz="4" w:space="0"/>
            </w:tcBorders>
            <w:vAlign w:val="center"/>
          </w:tcPr>
          <w:p w14:paraId="041BAB09">
            <w:pPr>
              <w:pStyle w:val="3"/>
              <w:snapToGrid w:val="0"/>
              <w:spacing w:line="360" w:lineRule="auto"/>
              <w:ind w:firstLine="0"/>
              <w:jc w:val="center"/>
              <w:rPr>
                <w:rFonts w:hint="eastAsia" w:ascii="宋体" w:hAnsi="宋体" w:cs="宋体"/>
                <w:b/>
                <w:color w:val="auto"/>
                <w:sz w:val="24"/>
                <w:szCs w:val="24"/>
                <w:highlight w:val="none"/>
              </w:rPr>
            </w:pPr>
          </w:p>
        </w:tc>
        <w:tc>
          <w:tcPr>
            <w:tcW w:w="5925" w:type="dxa"/>
            <w:tcBorders>
              <w:bottom w:val="single" w:color="auto" w:sz="4" w:space="0"/>
            </w:tcBorders>
            <w:vAlign w:val="center"/>
          </w:tcPr>
          <w:p w14:paraId="01C3B351">
            <w:pPr>
              <w:pStyle w:val="3"/>
              <w:snapToGrid w:val="0"/>
              <w:spacing w:line="360" w:lineRule="auto"/>
              <w:ind w:firstLine="0"/>
              <w:rPr>
                <w:rFonts w:hint="eastAsia" w:ascii="宋体" w:hAnsi="宋体" w:cs="宋体"/>
                <w:b/>
                <w:color w:val="auto"/>
                <w:sz w:val="24"/>
                <w:szCs w:val="24"/>
                <w:highlight w:val="none"/>
              </w:rPr>
            </w:pPr>
            <w:r>
              <w:rPr>
                <w:rFonts w:hint="eastAsia" w:ascii="宋体" w:hAnsi="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4CA6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5740577C">
            <w:pPr>
              <w:pStyle w:val="3"/>
              <w:snapToGrid w:val="0"/>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29</w:t>
            </w:r>
          </w:p>
        </w:tc>
        <w:tc>
          <w:tcPr>
            <w:tcW w:w="696" w:type="dxa"/>
            <w:tcBorders>
              <w:bottom w:val="single" w:color="auto" w:sz="4" w:space="0"/>
            </w:tcBorders>
            <w:vAlign w:val="center"/>
          </w:tcPr>
          <w:p w14:paraId="602902F9">
            <w:pPr>
              <w:pStyle w:val="3"/>
              <w:snapToGrid w:val="0"/>
              <w:spacing w:line="360" w:lineRule="auto"/>
              <w:ind w:firstLine="0"/>
              <w:jc w:val="center"/>
              <w:rPr>
                <w:rFonts w:hint="eastAsia" w:ascii="宋体" w:hAnsi="宋体" w:cs="宋体"/>
                <w:b/>
                <w:color w:val="auto"/>
                <w:sz w:val="24"/>
                <w:szCs w:val="24"/>
                <w:highlight w:val="none"/>
              </w:rPr>
            </w:pPr>
          </w:p>
        </w:tc>
        <w:tc>
          <w:tcPr>
            <w:tcW w:w="1422" w:type="dxa"/>
            <w:tcBorders>
              <w:bottom w:val="single" w:color="auto" w:sz="4" w:space="0"/>
            </w:tcBorders>
            <w:vAlign w:val="center"/>
          </w:tcPr>
          <w:p w14:paraId="3861EDC4">
            <w:pPr>
              <w:pStyle w:val="3"/>
              <w:snapToGrid w:val="0"/>
              <w:spacing w:line="360" w:lineRule="auto"/>
              <w:ind w:firstLine="0"/>
              <w:jc w:val="center"/>
              <w:rPr>
                <w:rFonts w:hint="eastAsia" w:ascii="宋体" w:hAnsi="宋体" w:cs="宋体"/>
                <w:b/>
                <w:color w:val="auto"/>
                <w:sz w:val="24"/>
                <w:szCs w:val="24"/>
                <w:highlight w:val="none"/>
              </w:rPr>
            </w:pPr>
          </w:p>
        </w:tc>
        <w:tc>
          <w:tcPr>
            <w:tcW w:w="5925" w:type="dxa"/>
            <w:tcBorders>
              <w:bottom w:val="single" w:color="auto" w:sz="4" w:space="0"/>
            </w:tcBorders>
            <w:vAlign w:val="center"/>
          </w:tcPr>
          <w:p w14:paraId="5055985E">
            <w:pPr>
              <w:spacing w:line="360" w:lineRule="auto"/>
              <w:rPr>
                <w:rFonts w:hint="eastAsia" w:ascii="宋体" w:hAnsi="宋体" w:cs="宋体"/>
                <w:b/>
                <w:color w:val="auto"/>
                <w:sz w:val="24"/>
                <w:szCs w:val="24"/>
                <w:highlight w:val="none"/>
              </w:rPr>
            </w:pPr>
            <w:r>
              <w:rPr>
                <w:rFonts w:hint="eastAsia" w:ascii="宋体" w:hAnsi="宋体" w:cs="宋体"/>
                <w:bCs/>
                <w:color w:val="auto"/>
                <w:sz w:val="24"/>
                <w:szCs w:val="24"/>
                <w:highlight w:val="none"/>
              </w:rPr>
              <w:t>其他不满足招标文件要求经评标委员会认定须作无效投标处理的。</w:t>
            </w:r>
          </w:p>
        </w:tc>
      </w:tr>
      <w:tr w14:paraId="65F4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0D30059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30</w:t>
            </w:r>
          </w:p>
        </w:tc>
        <w:tc>
          <w:tcPr>
            <w:tcW w:w="696" w:type="dxa"/>
            <w:tcBorders>
              <w:bottom w:val="single" w:color="auto" w:sz="4" w:space="0"/>
            </w:tcBorders>
            <w:vAlign w:val="center"/>
          </w:tcPr>
          <w:p w14:paraId="677A7967">
            <w:pPr>
              <w:spacing w:line="360" w:lineRule="auto"/>
              <w:jc w:val="center"/>
              <w:rPr>
                <w:rFonts w:hint="eastAsia" w:ascii="宋体" w:hAnsi="宋体" w:cs="宋体"/>
                <w:color w:val="auto"/>
                <w:sz w:val="24"/>
                <w:szCs w:val="24"/>
                <w:highlight w:val="none"/>
              </w:rPr>
            </w:pPr>
          </w:p>
        </w:tc>
        <w:tc>
          <w:tcPr>
            <w:tcW w:w="1422" w:type="dxa"/>
            <w:tcBorders>
              <w:bottom w:val="single" w:color="auto" w:sz="4" w:space="0"/>
            </w:tcBorders>
            <w:vAlign w:val="center"/>
          </w:tcPr>
          <w:p w14:paraId="16535859">
            <w:pPr>
              <w:spacing w:line="360" w:lineRule="auto"/>
              <w:jc w:val="center"/>
              <w:rPr>
                <w:rFonts w:hint="eastAsia" w:ascii="宋体" w:hAnsi="宋体" w:cs="宋体"/>
                <w:color w:val="auto"/>
                <w:sz w:val="24"/>
                <w:szCs w:val="24"/>
                <w:highlight w:val="none"/>
              </w:rPr>
            </w:pPr>
          </w:p>
        </w:tc>
        <w:tc>
          <w:tcPr>
            <w:tcW w:w="5925" w:type="dxa"/>
            <w:tcBorders>
              <w:bottom w:val="single" w:color="auto" w:sz="4" w:space="0"/>
            </w:tcBorders>
            <w:vAlign w:val="center"/>
          </w:tcPr>
          <w:p w14:paraId="06AE2A31">
            <w:pPr>
              <w:pStyle w:val="17"/>
              <w:spacing w:line="360" w:lineRule="auto"/>
              <w:rPr>
                <w:rFonts w:hint="eastAsia" w:hAnsi="宋体" w:cs="宋体"/>
                <w:color w:val="auto"/>
                <w:highlight w:val="none"/>
              </w:rPr>
            </w:pPr>
            <w:r>
              <w:rPr>
                <w:rFonts w:hint="eastAsia" w:hAnsi="宋体" w:cs="宋体"/>
                <w:color w:val="auto"/>
                <w:highlight w:val="none"/>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047A1C4D">
            <w:pPr>
              <w:spacing w:line="360" w:lineRule="auto"/>
              <w:rPr>
                <w:rFonts w:hint="eastAsia" w:ascii="宋体" w:hAnsi="宋体" w:cs="宋体"/>
                <w:color w:val="auto"/>
                <w:sz w:val="24"/>
                <w:szCs w:val="24"/>
                <w:highlight w:val="none"/>
              </w:rPr>
            </w:pPr>
          </w:p>
        </w:tc>
      </w:tr>
      <w:tr w14:paraId="0E49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0CE18DC5">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696" w:type="dxa"/>
            <w:tcBorders>
              <w:bottom w:val="single" w:color="auto" w:sz="4" w:space="0"/>
            </w:tcBorders>
            <w:vAlign w:val="center"/>
          </w:tcPr>
          <w:p w14:paraId="31F67D61">
            <w:pPr>
              <w:spacing w:line="360" w:lineRule="auto"/>
              <w:jc w:val="center"/>
              <w:rPr>
                <w:rFonts w:hint="eastAsia" w:ascii="宋体" w:hAnsi="宋体" w:cs="宋体"/>
                <w:color w:val="auto"/>
                <w:sz w:val="24"/>
                <w:szCs w:val="24"/>
                <w:highlight w:val="none"/>
              </w:rPr>
            </w:pPr>
          </w:p>
        </w:tc>
        <w:tc>
          <w:tcPr>
            <w:tcW w:w="1422" w:type="dxa"/>
            <w:tcBorders>
              <w:bottom w:val="single" w:color="auto" w:sz="4" w:space="0"/>
            </w:tcBorders>
            <w:vAlign w:val="center"/>
          </w:tcPr>
          <w:p w14:paraId="4CA3408E">
            <w:pPr>
              <w:spacing w:line="360" w:lineRule="auto"/>
              <w:jc w:val="center"/>
              <w:rPr>
                <w:rFonts w:hint="eastAsia" w:ascii="宋体" w:hAnsi="宋体" w:cs="宋体"/>
                <w:color w:val="auto"/>
                <w:sz w:val="24"/>
                <w:szCs w:val="24"/>
                <w:highlight w:val="none"/>
              </w:rPr>
            </w:pPr>
          </w:p>
        </w:tc>
        <w:tc>
          <w:tcPr>
            <w:tcW w:w="5925" w:type="dxa"/>
            <w:tcBorders>
              <w:bottom w:val="single" w:color="auto" w:sz="4" w:space="0"/>
            </w:tcBorders>
            <w:vAlign w:val="center"/>
          </w:tcPr>
          <w:p w14:paraId="5E9A84BE">
            <w:pPr>
              <w:tabs>
                <w:tab w:val="left" w:pos="5130"/>
              </w:tabs>
              <w:spacing w:line="360" w:lineRule="auto"/>
              <w:rPr>
                <w:rFonts w:hint="eastAsia" w:ascii="宋体" w:hAnsi="宋体"/>
                <w:color w:val="auto"/>
                <w:sz w:val="24"/>
                <w:szCs w:val="24"/>
                <w:highlight w:val="none"/>
              </w:rPr>
            </w:pPr>
            <w:r>
              <w:rPr>
                <w:rFonts w:hint="eastAsia" w:ascii="宋体" w:hAnsi="宋体" w:cs="Courier New"/>
                <w:b/>
                <w:color w:val="auto"/>
                <w:sz w:val="24"/>
                <w:szCs w:val="24"/>
                <w:highlight w:val="none"/>
              </w:rPr>
              <w:t>一、招标要求</w:t>
            </w:r>
          </w:p>
          <w:p w14:paraId="247C471C">
            <w:pPr>
              <w:spacing w:line="360" w:lineRule="auto"/>
              <w:rPr>
                <w:rFonts w:hint="eastAsia" w:ascii="宋体" w:hAnsi="宋体" w:cs="宋体"/>
                <w:color w:val="auto"/>
                <w:sz w:val="24"/>
                <w:szCs w:val="24"/>
                <w:highlight w:val="none"/>
              </w:rPr>
            </w:pPr>
            <w:r>
              <w:rPr>
                <w:rFonts w:hint="eastAsia" w:hAnsi="宋体"/>
                <w:b/>
                <w:color w:val="auto"/>
                <w:sz w:val="24"/>
                <w:szCs w:val="24"/>
                <w:highlight w:val="none"/>
              </w:rPr>
              <w:t>*1、本项目只有一个合同包，</w:t>
            </w:r>
            <w:r>
              <w:rPr>
                <w:rFonts w:hint="eastAsia" w:hAnsi="宋体" w:cs="宋体"/>
                <w:b/>
                <w:color w:val="auto"/>
                <w:sz w:val="24"/>
                <w:szCs w:val="24"/>
                <w:highlight w:val="none"/>
              </w:rPr>
              <w:t>投标人</w:t>
            </w:r>
            <w:r>
              <w:rPr>
                <w:rFonts w:hint="eastAsia" w:hAnsi="宋体"/>
                <w:b/>
                <w:color w:val="auto"/>
                <w:sz w:val="24"/>
                <w:szCs w:val="24"/>
                <w:highlight w:val="none"/>
              </w:rPr>
              <w:t>必须对合同包内所有品目号进行报价。否则将作无效投标处理。</w:t>
            </w:r>
          </w:p>
        </w:tc>
      </w:tr>
      <w:tr w14:paraId="65D5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6581FBB9">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696" w:type="dxa"/>
            <w:tcBorders>
              <w:bottom w:val="single" w:color="auto" w:sz="4" w:space="0"/>
            </w:tcBorders>
            <w:vAlign w:val="center"/>
          </w:tcPr>
          <w:p w14:paraId="3E224307">
            <w:pPr>
              <w:spacing w:line="360" w:lineRule="auto"/>
              <w:jc w:val="center"/>
              <w:rPr>
                <w:rFonts w:hint="eastAsia" w:ascii="宋体" w:hAnsi="宋体" w:cs="宋体"/>
                <w:color w:val="auto"/>
                <w:sz w:val="24"/>
                <w:szCs w:val="24"/>
                <w:highlight w:val="none"/>
              </w:rPr>
            </w:pPr>
          </w:p>
        </w:tc>
        <w:tc>
          <w:tcPr>
            <w:tcW w:w="1422" w:type="dxa"/>
            <w:tcBorders>
              <w:bottom w:val="single" w:color="auto" w:sz="4" w:space="0"/>
            </w:tcBorders>
            <w:vAlign w:val="center"/>
          </w:tcPr>
          <w:p w14:paraId="2CF43CED">
            <w:pPr>
              <w:spacing w:line="360" w:lineRule="auto"/>
              <w:jc w:val="center"/>
              <w:rPr>
                <w:rFonts w:hint="eastAsia" w:ascii="宋体" w:hAnsi="宋体" w:cs="宋体"/>
                <w:color w:val="auto"/>
                <w:sz w:val="24"/>
                <w:szCs w:val="24"/>
                <w:highlight w:val="none"/>
              </w:rPr>
            </w:pPr>
          </w:p>
        </w:tc>
        <w:tc>
          <w:tcPr>
            <w:tcW w:w="5925" w:type="dxa"/>
            <w:tcBorders>
              <w:bottom w:val="single" w:color="auto" w:sz="4" w:space="0"/>
            </w:tcBorders>
            <w:vAlign w:val="center"/>
          </w:tcPr>
          <w:p w14:paraId="6253EFDC">
            <w:pPr>
              <w:spacing w:line="360" w:lineRule="auto"/>
              <w:rPr>
                <w:rFonts w:hint="eastAsia" w:ascii="宋体" w:hAnsi="宋体" w:cs="宋体"/>
                <w:color w:val="auto"/>
                <w:sz w:val="24"/>
                <w:szCs w:val="24"/>
                <w:highlight w:val="none"/>
              </w:rPr>
            </w:pPr>
            <w:r>
              <w:rPr>
                <w:rFonts w:hint="eastAsia" w:hAnsi="宋体"/>
                <w:b/>
                <w:color w:val="auto"/>
                <w:sz w:val="24"/>
                <w:szCs w:val="24"/>
                <w:highlight w:val="none"/>
              </w:rPr>
              <w:t>*2、针对采购货物一览表所有货物，品目号1-1至1-10投标人投标产品需为同一个品牌产品，品目号1-11和1-16投标人投标产品需为同一个品牌产品，否则将作无效投标处理。</w:t>
            </w:r>
          </w:p>
        </w:tc>
      </w:tr>
      <w:tr w14:paraId="0C29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5F23D100">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696" w:type="dxa"/>
            <w:tcBorders>
              <w:bottom w:val="single" w:color="auto" w:sz="4" w:space="0"/>
            </w:tcBorders>
            <w:vAlign w:val="center"/>
          </w:tcPr>
          <w:p w14:paraId="56541E7B">
            <w:pPr>
              <w:spacing w:line="360" w:lineRule="auto"/>
              <w:jc w:val="center"/>
              <w:rPr>
                <w:rFonts w:hint="eastAsia" w:ascii="宋体" w:hAnsi="宋体" w:cs="宋体"/>
                <w:color w:val="auto"/>
                <w:sz w:val="24"/>
                <w:szCs w:val="24"/>
                <w:highlight w:val="none"/>
              </w:rPr>
            </w:pPr>
          </w:p>
        </w:tc>
        <w:tc>
          <w:tcPr>
            <w:tcW w:w="1422" w:type="dxa"/>
            <w:tcBorders>
              <w:bottom w:val="single" w:color="auto" w:sz="4" w:space="0"/>
            </w:tcBorders>
            <w:vAlign w:val="center"/>
          </w:tcPr>
          <w:p w14:paraId="0FC5F25C">
            <w:pPr>
              <w:spacing w:line="360" w:lineRule="auto"/>
              <w:jc w:val="center"/>
              <w:rPr>
                <w:rFonts w:hint="eastAsia" w:ascii="宋体" w:hAnsi="宋体" w:cs="宋体"/>
                <w:color w:val="auto"/>
                <w:sz w:val="24"/>
                <w:szCs w:val="24"/>
                <w:highlight w:val="none"/>
              </w:rPr>
            </w:pPr>
          </w:p>
        </w:tc>
        <w:tc>
          <w:tcPr>
            <w:tcW w:w="5925" w:type="dxa"/>
            <w:tcBorders>
              <w:bottom w:val="single" w:color="auto" w:sz="4" w:space="0"/>
            </w:tcBorders>
            <w:vAlign w:val="center"/>
          </w:tcPr>
          <w:p w14:paraId="3E49739E">
            <w:pPr>
              <w:spacing w:line="360" w:lineRule="auto"/>
              <w:rPr>
                <w:rFonts w:hint="eastAsia" w:ascii="宋体" w:hAnsi="宋体" w:cs="宋体"/>
                <w:color w:val="auto"/>
                <w:sz w:val="24"/>
                <w:szCs w:val="24"/>
                <w:highlight w:val="none"/>
              </w:rPr>
            </w:pPr>
            <w:r>
              <w:rPr>
                <w:rFonts w:hint="eastAsia" w:hAnsi="宋体"/>
                <w:b/>
                <w:color w:val="auto"/>
                <w:sz w:val="24"/>
                <w:szCs w:val="24"/>
                <w:highlight w:val="none"/>
              </w:rPr>
              <w:t>*3、</w:t>
            </w:r>
            <w:r>
              <w:rPr>
                <w:rFonts w:hint="eastAsia" w:hAnsi="宋体" w:cs="宋体"/>
                <w:b/>
                <w:color w:val="auto"/>
                <w:sz w:val="24"/>
                <w:szCs w:val="24"/>
                <w:highlight w:val="none"/>
              </w:rPr>
              <w:t>投标人</w:t>
            </w:r>
            <w:r>
              <w:rPr>
                <w:rFonts w:hint="eastAsia" w:hAnsi="宋体"/>
                <w:b/>
                <w:color w:val="auto"/>
                <w:sz w:val="24"/>
                <w:szCs w:val="24"/>
                <w:highlight w:val="none"/>
              </w:rPr>
              <w:t>须在</w:t>
            </w:r>
            <w:r>
              <w:rPr>
                <w:rFonts w:hint="eastAsia" w:hAnsi="宋体" w:cs="宋体"/>
                <w:b/>
                <w:color w:val="auto"/>
                <w:sz w:val="24"/>
                <w:szCs w:val="24"/>
                <w:highlight w:val="none"/>
              </w:rPr>
              <w:t>投标文件</w:t>
            </w:r>
            <w:r>
              <w:rPr>
                <w:rFonts w:hint="eastAsia" w:hAnsi="宋体"/>
                <w:b/>
                <w:color w:val="auto"/>
                <w:sz w:val="24"/>
                <w:szCs w:val="24"/>
                <w:highlight w:val="none"/>
              </w:rPr>
              <w:t>中提供书面承诺函：采购单位可调整各规格产品的实际供货数量。采购单位有权向厦门市政府机关事业单位和福建省内其他终端用户(合称为“使用单位”)进行供货，所需费用已包含在总报价中。</w:t>
            </w:r>
          </w:p>
        </w:tc>
      </w:tr>
      <w:tr w14:paraId="1CFA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696" w:type="dxa"/>
            <w:tcBorders>
              <w:bottom w:val="single" w:color="auto" w:sz="4" w:space="0"/>
            </w:tcBorders>
            <w:vAlign w:val="center"/>
          </w:tcPr>
          <w:p w14:paraId="1180D785">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696" w:type="dxa"/>
            <w:tcBorders>
              <w:bottom w:val="single" w:color="auto" w:sz="4" w:space="0"/>
            </w:tcBorders>
            <w:vAlign w:val="center"/>
          </w:tcPr>
          <w:p w14:paraId="4CFDFDDB">
            <w:pPr>
              <w:spacing w:line="360" w:lineRule="auto"/>
              <w:jc w:val="center"/>
              <w:rPr>
                <w:rFonts w:hint="eastAsia" w:ascii="宋体" w:hAnsi="宋体" w:cs="宋体"/>
                <w:color w:val="auto"/>
                <w:sz w:val="24"/>
                <w:szCs w:val="24"/>
                <w:highlight w:val="none"/>
              </w:rPr>
            </w:pPr>
          </w:p>
        </w:tc>
        <w:tc>
          <w:tcPr>
            <w:tcW w:w="1422" w:type="dxa"/>
            <w:tcBorders>
              <w:bottom w:val="single" w:color="auto" w:sz="4" w:space="0"/>
            </w:tcBorders>
            <w:vAlign w:val="center"/>
          </w:tcPr>
          <w:p w14:paraId="0F8F8831">
            <w:pPr>
              <w:spacing w:line="360" w:lineRule="auto"/>
              <w:jc w:val="center"/>
              <w:rPr>
                <w:rFonts w:hint="eastAsia" w:ascii="宋体" w:hAnsi="宋体" w:cs="宋体"/>
                <w:color w:val="auto"/>
                <w:sz w:val="24"/>
                <w:szCs w:val="24"/>
                <w:highlight w:val="none"/>
              </w:rPr>
            </w:pPr>
          </w:p>
        </w:tc>
        <w:tc>
          <w:tcPr>
            <w:tcW w:w="5925" w:type="dxa"/>
            <w:tcBorders>
              <w:bottom w:val="single" w:color="auto" w:sz="4" w:space="0"/>
            </w:tcBorders>
            <w:vAlign w:val="center"/>
          </w:tcPr>
          <w:p w14:paraId="1E8F7132">
            <w:pPr>
              <w:spacing w:line="360" w:lineRule="auto"/>
              <w:rPr>
                <w:rFonts w:hint="eastAsia" w:ascii="宋体" w:hAnsi="宋体" w:cs="宋体"/>
                <w:color w:val="auto"/>
                <w:sz w:val="24"/>
                <w:szCs w:val="24"/>
                <w:highlight w:val="none"/>
              </w:rPr>
            </w:pPr>
            <w:r>
              <w:rPr>
                <w:rFonts w:hint="eastAsia" w:ascii="宋体" w:hAnsi="宋体" w:cs="宋体"/>
                <w:b/>
                <w:color w:val="auto"/>
                <w:sz w:val="24"/>
                <w:szCs w:val="24"/>
                <w:highlight w:val="none"/>
              </w:rPr>
              <w:t>*4、投标产品</w:t>
            </w:r>
            <w:r>
              <w:rPr>
                <w:rFonts w:hint="eastAsia" w:ascii="宋体" w:hAnsi="宋体"/>
                <w:b/>
                <w:color w:val="auto"/>
                <w:sz w:val="24"/>
                <w:szCs w:val="24"/>
                <w:highlight w:val="none"/>
              </w:rPr>
              <w:t>的包装规格(指每箱的包数)可与上表中的包装规格(指每箱的包数)不同，但各</w:t>
            </w:r>
            <w:r>
              <w:rPr>
                <w:rFonts w:hint="eastAsia" w:ascii="宋体" w:hAnsi="宋体" w:cs="宋体"/>
                <w:b/>
                <w:color w:val="auto"/>
                <w:sz w:val="24"/>
                <w:szCs w:val="24"/>
                <w:highlight w:val="none"/>
              </w:rPr>
              <w:t>投标人</w:t>
            </w:r>
            <w:r>
              <w:rPr>
                <w:rFonts w:hint="eastAsia" w:ascii="宋体" w:hAnsi="宋体"/>
                <w:b/>
                <w:color w:val="auto"/>
                <w:sz w:val="24"/>
                <w:szCs w:val="24"/>
                <w:highlight w:val="none"/>
              </w:rPr>
              <w:t>须统一按上表中的标准包装规格报价。</w:t>
            </w:r>
          </w:p>
        </w:tc>
      </w:tr>
      <w:tr w14:paraId="3DDD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Borders>
              <w:bottom w:val="single" w:color="auto" w:sz="4" w:space="0"/>
            </w:tcBorders>
            <w:vAlign w:val="center"/>
          </w:tcPr>
          <w:p w14:paraId="290B0F5A">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696" w:type="dxa"/>
            <w:tcBorders>
              <w:bottom w:val="single" w:color="auto" w:sz="4" w:space="0"/>
            </w:tcBorders>
            <w:vAlign w:val="center"/>
          </w:tcPr>
          <w:p w14:paraId="2CD50840">
            <w:pPr>
              <w:spacing w:line="360" w:lineRule="auto"/>
              <w:jc w:val="center"/>
              <w:rPr>
                <w:rFonts w:hint="eastAsia" w:ascii="宋体" w:hAnsi="宋体" w:cs="宋体"/>
                <w:color w:val="auto"/>
                <w:sz w:val="24"/>
                <w:szCs w:val="24"/>
                <w:highlight w:val="none"/>
              </w:rPr>
            </w:pPr>
          </w:p>
        </w:tc>
        <w:tc>
          <w:tcPr>
            <w:tcW w:w="1422" w:type="dxa"/>
            <w:tcBorders>
              <w:bottom w:val="single" w:color="auto" w:sz="4" w:space="0"/>
            </w:tcBorders>
            <w:vAlign w:val="center"/>
          </w:tcPr>
          <w:p w14:paraId="7961C1EB">
            <w:pPr>
              <w:spacing w:line="360" w:lineRule="auto"/>
              <w:jc w:val="center"/>
              <w:rPr>
                <w:rFonts w:hint="eastAsia" w:ascii="宋体" w:hAnsi="宋体" w:cs="宋体"/>
                <w:color w:val="auto"/>
                <w:sz w:val="24"/>
                <w:szCs w:val="24"/>
                <w:highlight w:val="none"/>
              </w:rPr>
            </w:pPr>
          </w:p>
        </w:tc>
        <w:tc>
          <w:tcPr>
            <w:tcW w:w="5925" w:type="dxa"/>
            <w:tcBorders>
              <w:bottom w:val="single" w:color="auto" w:sz="4" w:space="0"/>
            </w:tcBorders>
            <w:shd w:val="clear" w:color="auto" w:fill="auto"/>
            <w:vAlign w:val="center"/>
          </w:tcPr>
          <w:p w14:paraId="04C21B98">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b/>
                <w:color w:val="auto"/>
                <w:sz w:val="24"/>
                <w:szCs w:val="24"/>
                <w:highlight w:val="none"/>
              </w:rPr>
              <w:t>（二）主要参数及要求：</w:t>
            </w:r>
            <w:r>
              <w:rPr>
                <w:rFonts w:hint="eastAsia" w:ascii="宋体" w:hAnsi="宋体" w:cs="宋体"/>
                <w:b/>
                <w:bCs/>
                <w:color w:val="auto"/>
                <w:sz w:val="24"/>
                <w:szCs w:val="24"/>
                <w:highlight w:val="none"/>
              </w:rPr>
              <w:t>详见招标文件正文。</w:t>
            </w:r>
          </w:p>
        </w:tc>
      </w:tr>
      <w:tr w14:paraId="08BA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0A005BED">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696" w:type="dxa"/>
          </w:tcPr>
          <w:p w14:paraId="64205D1A">
            <w:pPr>
              <w:spacing w:line="360" w:lineRule="auto"/>
              <w:jc w:val="center"/>
              <w:rPr>
                <w:rFonts w:hint="eastAsia" w:ascii="宋体" w:hAnsi="宋体" w:cs="宋体"/>
                <w:color w:val="auto"/>
                <w:sz w:val="24"/>
                <w:szCs w:val="24"/>
                <w:highlight w:val="none"/>
              </w:rPr>
            </w:pPr>
          </w:p>
        </w:tc>
        <w:tc>
          <w:tcPr>
            <w:tcW w:w="1422" w:type="dxa"/>
          </w:tcPr>
          <w:p w14:paraId="5FADA67A">
            <w:pPr>
              <w:spacing w:line="360" w:lineRule="auto"/>
              <w:jc w:val="center"/>
              <w:rPr>
                <w:rFonts w:hint="eastAsia" w:ascii="宋体" w:hAnsi="宋体" w:cs="宋体"/>
                <w:color w:val="auto"/>
                <w:sz w:val="24"/>
                <w:szCs w:val="24"/>
                <w:highlight w:val="none"/>
              </w:rPr>
            </w:pPr>
          </w:p>
        </w:tc>
        <w:tc>
          <w:tcPr>
            <w:tcW w:w="5925" w:type="dxa"/>
          </w:tcPr>
          <w:p w14:paraId="36D539ED">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备注：</w:t>
            </w:r>
          </w:p>
          <w:p w14:paraId="13ED89E6">
            <w:pPr>
              <w:spacing w:line="360" w:lineRule="auto"/>
              <w:rPr>
                <w:rFonts w:hint="eastAsia" w:ascii="宋体" w:hAnsi="宋体" w:cs="宋体"/>
                <w:bCs/>
                <w:color w:val="auto"/>
                <w:sz w:val="24"/>
                <w:szCs w:val="24"/>
                <w:highlight w:val="none"/>
              </w:rPr>
            </w:pPr>
            <w:r>
              <w:rPr>
                <w:rFonts w:hint="eastAsia" w:ascii="宋体" w:hAnsi="宋体" w:cs="宋体"/>
                <w:b/>
                <w:color w:val="auto"/>
                <w:sz w:val="24"/>
                <w:szCs w:val="24"/>
                <w:highlight w:val="none"/>
              </w:rPr>
              <w:t>*1、投标人必须在投标文件中提供复印纸序号1-3、1-4、1-11、1-12获得市级以上国家质量检测机构出具的产品质量检验报告</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扫描件）</w:t>
            </w:r>
            <w:r>
              <w:rPr>
                <w:rFonts w:hint="eastAsia" w:ascii="宋体" w:hAnsi="宋体" w:cs="宋体"/>
                <w:b/>
                <w:color w:val="auto"/>
                <w:sz w:val="24"/>
                <w:szCs w:val="24"/>
                <w:highlight w:val="none"/>
              </w:rPr>
              <w:t>，报告中的实测数据需达到上述要求，并加盖投标人公章。</w:t>
            </w:r>
          </w:p>
        </w:tc>
      </w:tr>
      <w:tr w14:paraId="251D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57828B1E">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696" w:type="dxa"/>
          </w:tcPr>
          <w:p w14:paraId="1D789F28">
            <w:pPr>
              <w:spacing w:line="360" w:lineRule="auto"/>
              <w:jc w:val="center"/>
              <w:rPr>
                <w:rFonts w:hint="eastAsia" w:ascii="宋体" w:hAnsi="宋体" w:cs="宋体"/>
                <w:color w:val="auto"/>
                <w:sz w:val="24"/>
                <w:szCs w:val="24"/>
                <w:highlight w:val="none"/>
              </w:rPr>
            </w:pPr>
          </w:p>
        </w:tc>
        <w:tc>
          <w:tcPr>
            <w:tcW w:w="1422" w:type="dxa"/>
          </w:tcPr>
          <w:p w14:paraId="452619C3">
            <w:pPr>
              <w:spacing w:line="360" w:lineRule="auto"/>
              <w:jc w:val="center"/>
              <w:rPr>
                <w:rFonts w:hint="eastAsia" w:ascii="宋体" w:hAnsi="宋体" w:cs="宋体"/>
                <w:color w:val="auto"/>
                <w:sz w:val="24"/>
                <w:szCs w:val="24"/>
                <w:highlight w:val="none"/>
              </w:rPr>
            </w:pPr>
          </w:p>
        </w:tc>
        <w:tc>
          <w:tcPr>
            <w:tcW w:w="5925" w:type="dxa"/>
          </w:tcPr>
          <w:p w14:paraId="231FA308">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*2、投标产品必须为全木浆产品，投标人对此应提供书面承诺函或提供相关检测证明。</w:t>
            </w:r>
          </w:p>
        </w:tc>
      </w:tr>
      <w:tr w14:paraId="6C33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2491906">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38</w:t>
            </w:r>
          </w:p>
        </w:tc>
        <w:tc>
          <w:tcPr>
            <w:tcW w:w="696" w:type="dxa"/>
          </w:tcPr>
          <w:p w14:paraId="7DA2B7EA">
            <w:pPr>
              <w:spacing w:line="360" w:lineRule="auto"/>
              <w:jc w:val="center"/>
              <w:rPr>
                <w:rFonts w:hint="eastAsia" w:ascii="宋体" w:hAnsi="宋体" w:cs="宋体"/>
                <w:color w:val="auto"/>
                <w:sz w:val="24"/>
                <w:szCs w:val="24"/>
                <w:highlight w:val="none"/>
              </w:rPr>
            </w:pPr>
          </w:p>
        </w:tc>
        <w:tc>
          <w:tcPr>
            <w:tcW w:w="1422" w:type="dxa"/>
          </w:tcPr>
          <w:p w14:paraId="77F179F3">
            <w:pPr>
              <w:spacing w:line="360" w:lineRule="auto"/>
              <w:jc w:val="center"/>
              <w:rPr>
                <w:rFonts w:hint="eastAsia" w:ascii="宋体" w:hAnsi="宋体" w:cs="宋体"/>
                <w:color w:val="auto"/>
                <w:sz w:val="24"/>
                <w:szCs w:val="24"/>
                <w:highlight w:val="none"/>
              </w:rPr>
            </w:pPr>
          </w:p>
        </w:tc>
        <w:tc>
          <w:tcPr>
            <w:tcW w:w="5925" w:type="dxa"/>
          </w:tcPr>
          <w:p w14:paraId="6A16CAD2">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*3、投标人应在投标文件中提供书面承诺函：承诺检测样纸与投标的纸张一致。</w:t>
            </w:r>
          </w:p>
        </w:tc>
      </w:tr>
      <w:tr w14:paraId="24338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2D9B5128">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39</w:t>
            </w:r>
          </w:p>
        </w:tc>
        <w:tc>
          <w:tcPr>
            <w:tcW w:w="696" w:type="dxa"/>
          </w:tcPr>
          <w:p w14:paraId="06E22F85">
            <w:pPr>
              <w:spacing w:line="360" w:lineRule="auto"/>
              <w:jc w:val="center"/>
              <w:rPr>
                <w:rFonts w:hint="eastAsia" w:ascii="宋体" w:hAnsi="宋体" w:cs="宋体"/>
                <w:color w:val="auto"/>
                <w:sz w:val="24"/>
                <w:szCs w:val="24"/>
                <w:highlight w:val="none"/>
              </w:rPr>
            </w:pPr>
          </w:p>
        </w:tc>
        <w:tc>
          <w:tcPr>
            <w:tcW w:w="1422" w:type="dxa"/>
          </w:tcPr>
          <w:p w14:paraId="0CB452FA">
            <w:pPr>
              <w:spacing w:line="360" w:lineRule="auto"/>
              <w:jc w:val="center"/>
              <w:rPr>
                <w:rFonts w:hint="eastAsia" w:ascii="宋体" w:hAnsi="宋体" w:cs="宋体"/>
                <w:color w:val="auto"/>
                <w:sz w:val="24"/>
                <w:szCs w:val="24"/>
                <w:highlight w:val="none"/>
              </w:rPr>
            </w:pPr>
          </w:p>
        </w:tc>
        <w:tc>
          <w:tcPr>
            <w:tcW w:w="5925" w:type="dxa"/>
          </w:tcPr>
          <w:p w14:paraId="4CACFFCB">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4、投标人须在递交投标文件时提供序号1-3、1-4、1-11、1-12四种规格复印纸样品各2包。中标供应商的样品将作为验收依据，在货物供货验收完毕后给予退还。样品需在投标截止时间前，送至厦门市湖里区云顶北路842号，厦门市政务服务中心4楼A区</w:t>
            </w:r>
            <w:r>
              <w:rPr>
                <w:rFonts w:ascii="宋体" w:hAnsi="宋体" w:cs="宋体"/>
                <w:b/>
                <w:color w:val="auto"/>
                <w:sz w:val="24"/>
                <w:szCs w:val="24"/>
                <w:highlight w:val="none"/>
              </w:rPr>
              <w:t>A440</w:t>
            </w:r>
            <w:r>
              <w:rPr>
                <w:rFonts w:hint="eastAsia" w:ascii="宋体" w:hAnsi="宋体" w:cs="宋体"/>
                <w:b/>
                <w:color w:val="auto"/>
                <w:sz w:val="24"/>
                <w:szCs w:val="24"/>
                <w:highlight w:val="none"/>
              </w:rPr>
              <w:t>样品间。</w:t>
            </w:r>
          </w:p>
        </w:tc>
      </w:tr>
      <w:tr w14:paraId="3778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5117B254">
            <w:pPr>
              <w:spacing w:line="360" w:lineRule="auto"/>
              <w:jc w:val="both"/>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40</w:t>
            </w:r>
          </w:p>
        </w:tc>
        <w:tc>
          <w:tcPr>
            <w:tcW w:w="696" w:type="dxa"/>
          </w:tcPr>
          <w:p w14:paraId="13DEE24A">
            <w:pPr>
              <w:spacing w:line="360" w:lineRule="auto"/>
              <w:jc w:val="center"/>
              <w:rPr>
                <w:rFonts w:hint="eastAsia" w:ascii="宋体" w:hAnsi="宋体" w:cs="宋体"/>
                <w:color w:val="auto"/>
                <w:sz w:val="24"/>
                <w:szCs w:val="24"/>
                <w:highlight w:val="none"/>
              </w:rPr>
            </w:pPr>
          </w:p>
        </w:tc>
        <w:tc>
          <w:tcPr>
            <w:tcW w:w="1422" w:type="dxa"/>
          </w:tcPr>
          <w:p w14:paraId="23E44264">
            <w:pPr>
              <w:spacing w:line="360" w:lineRule="auto"/>
              <w:jc w:val="center"/>
              <w:rPr>
                <w:rFonts w:hint="eastAsia" w:ascii="宋体" w:hAnsi="宋体" w:cs="宋体"/>
                <w:color w:val="auto"/>
                <w:sz w:val="24"/>
                <w:szCs w:val="24"/>
                <w:highlight w:val="none"/>
              </w:rPr>
            </w:pPr>
          </w:p>
        </w:tc>
        <w:tc>
          <w:tcPr>
            <w:tcW w:w="5925" w:type="dxa"/>
          </w:tcPr>
          <w:p w14:paraId="2D50D894">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*5、投标人必须提供书面承诺函：承诺提供的样纸与投标的纸张一致，承诺函需加盖单位公章。</w:t>
            </w:r>
          </w:p>
        </w:tc>
      </w:tr>
      <w:tr w14:paraId="58CA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2293B77E">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41</w:t>
            </w:r>
          </w:p>
        </w:tc>
        <w:tc>
          <w:tcPr>
            <w:tcW w:w="696" w:type="dxa"/>
          </w:tcPr>
          <w:p w14:paraId="72F1C357">
            <w:pPr>
              <w:spacing w:line="360" w:lineRule="auto"/>
              <w:jc w:val="center"/>
              <w:rPr>
                <w:rFonts w:hint="eastAsia" w:ascii="宋体" w:hAnsi="宋体" w:cs="宋体"/>
                <w:color w:val="auto"/>
                <w:sz w:val="24"/>
                <w:szCs w:val="24"/>
                <w:highlight w:val="none"/>
              </w:rPr>
            </w:pPr>
          </w:p>
        </w:tc>
        <w:tc>
          <w:tcPr>
            <w:tcW w:w="1422" w:type="dxa"/>
          </w:tcPr>
          <w:p w14:paraId="5A1D2F7F">
            <w:pPr>
              <w:spacing w:line="360" w:lineRule="auto"/>
              <w:jc w:val="center"/>
              <w:rPr>
                <w:rFonts w:hint="eastAsia" w:ascii="宋体" w:hAnsi="宋体" w:cs="宋体"/>
                <w:color w:val="auto"/>
                <w:sz w:val="24"/>
                <w:szCs w:val="24"/>
                <w:highlight w:val="none"/>
              </w:rPr>
            </w:pPr>
          </w:p>
        </w:tc>
        <w:tc>
          <w:tcPr>
            <w:tcW w:w="5925" w:type="dxa"/>
          </w:tcPr>
          <w:p w14:paraId="29B108F3">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6、投标人本次投标产品的包装必须按行业通用标准包装，每500张为一包，用具有防潮性能的纸或其他材料包好、封牢。每包纸的外包装应标识明确（含批次号），以示识别。每箱内应放一张产品合格证。投标人对此必须提供书面承诺函。</w:t>
            </w:r>
          </w:p>
        </w:tc>
      </w:tr>
      <w:tr w14:paraId="686A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31AA6318">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w:t>
            </w:r>
          </w:p>
        </w:tc>
        <w:tc>
          <w:tcPr>
            <w:tcW w:w="696" w:type="dxa"/>
          </w:tcPr>
          <w:p w14:paraId="4681AA62">
            <w:pPr>
              <w:spacing w:line="360" w:lineRule="auto"/>
              <w:jc w:val="center"/>
              <w:rPr>
                <w:rFonts w:hint="eastAsia" w:ascii="宋体" w:hAnsi="宋体" w:cs="宋体"/>
                <w:color w:val="auto"/>
                <w:sz w:val="24"/>
                <w:szCs w:val="24"/>
                <w:highlight w:val="none"/>
              </w:rPr>
            </w:pPr>
          </w:p>
        </w:tc>
        <w:tc>
          <w:tcPr>
            <w:tcW w:w="1422" w:type="dxa"/>
          </w:tcPr>
          <w:p w14:paraId="65D529BA">
            <w:pPr>
              <w:spacing w:line="360" w:lineRule="auto"/>
              <w:jc w:val="center"/>
              <w:rPr>
                <w:rFonts w:hint="eastAsia" w:ascii="宋体" w:hAnsi="宋体" w:cs="宋体"/>
                <w:color w:val="auto"/>
                <w:sz w:val="24"/>
                <w:szCs w:val="24"/>
                <w:highlight w:val="none"/>
              </w:rPr>
            </w:pPr>
          </w:p>
        </w:tc>
        <w:tc>
          <w:tcPr>
            <w:tcW w:w="5925" w:type="dxa"/>
          </w:tcPr>
          <w:p w14:paraId="6962A85A">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三、售后服务要求</w:t>
            </w:r>
          </w:p>
          <w:p w14:paraId="3E76AD68">
            <w:pPr>
              <w:spacing w:line="360" w:lineRule="auto"/>
              <w:rPr>
                <w:rFonts w:hint="eastAsia" w:ascii="宋体" w:hAnsi="宋体" w:cs="宋体"/>
                <w:b/>
                <w:color w:val="auto"/>
                <w:sz w:val="24"/>
                <w:szCs w:val="24"/>
                <w:highlight w:val="none"/>
              </w:rPr>
            </w:pPr>
            <w:r>
              <w:rPr>
                <w:rFonts w:ascii="宋体" w:hAnsi="宋体" w:cs="宋体"/>
                <w:b/>
                <w:color w:val="auto"/>
                <w:sz w:val="24"/>
                <w:szCs w:val="24"/>
                <w:highlight w:val="none"/>
              </w:rPr>
              <w:t>*1、投标人必须在投标文件中提供具体的售后服务承诺条款。</w:t>
            </w:r>
          </w:p>
        </w:tc>
      </w:tr>
      <w:tr w14:paraId="75FF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679043C9">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43</w:t>
            </w:r>
          </w:p>
        </w:tc>
        <w:tc>
          <w:tcPr>
            <w:tcW w:w="696" w:type="dxa"/>
          </w:tcPr>
          <w:p w14:paraId="22AC2345">
            <w:pPr>
              <w:spacing w:line="360" w:lineRule="auto"/>
              <w:jc w:val="center"/>
              <w:rPr>
                <w:rFonts w:hint="eastAsia" w:ascii="宋体" w:hAnsi="宋体" w:cs="宋体"/>
                <w:color w:val="auto"/>
                <w:sz w:val="24"/>
                <w:szCs w:val="24"/>
                <w:highlight w:val="none"/>
              </w:rPr>
            </w:pPr>
          </w:p>
        </w:tc>
        <w:tc>
          <w:tcPr>
            <w:tcW w:w="1422" w:type="dxa"/>
          </w:tcPr>
          <w:p w14:paraId="2AAAB9FA">
            <w:pPr>
              <w:spacing w:line="360" w:lineRule="auto"/>
              <w:jc w:val="center"/>
              <w:rPr>
                <w:rFonts w:hint="eastAsia" w:ascii="宋体" w:hAnsi="宋体" w:cs="宋体"/>
                <w:color w:val="auto"/>
                <w:sz w:val="24"/>
                <w:szCs w:val="24"/>
                <w:highlight w:val="none"/>
              </w:rPr>
            </w:pPr>
          </w:p>
        </w:tc>
        <w:tc>
          <w:tcPr>
            <w:tcW w:w="5925" w:type="dxa"/>
          </w:tcPr>
          <w:p w14:paraId="36EC028B">
            <w:pPr>
              <w:spacing w:line="360" w:lineRule="auto"/>
              <w:rPr>
                <w:rFonts w:hint="eastAsia" w:ascii="宋体" w:hAnsi="宋体" w:cs="宋体"/>
                <w:b/>
                <w:color w:val="auto"/>
                <w:sz w:val="24"/>
                <w:szCs w:val="24"/>
                <w:highlight w:val="none"/>
              </w:rPr>
            </w:pPr>
            <w:r>
              <w:rPr>
                <w:rFonts w:ascii="宋体" w:hAnsi="宋体" w:cs="宋体"/>
                <w:b/>
                <w:color w:val="auto"/>
                <w:sz w:val="24"/>
                <w:szCs w:val="24"/>
                <w:highlight w:val="none"/>
              </w:rPr>
              <w:t>*2、本项目质量保证期：货物经客户验收合格后3个月。使用单位收到申购的复印纸后，3个月内发现质量问题，中标供应商应无条件给予更换或退货。</w:t>
            </w:r>
          </w:p>
        </w:tc>
      </w:tr>
      <w:tr w14:paraId="4C6A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5F5AAE9D">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44</w:t>
            </w:r>
          </w:p>
        </w:tc>
        <w:tc>
          <w:tcPr>
            <w:tcW w:w="696" w:type="dxa"/>
          </w:tcPr>
          <w:p w14:paraId="3A400FAD">
            <w:pPr>
              <w:spacing w:line="360" w:lineRule="auto"/>
              <w:jc w:val="center"/>
              <w:rPr>
                <w:rFonts w:hint="eastAsia" w:ascii="宋体" w:hAnsi="宋体" w:cs="宋体"/>
                <w:color w:val="auto"/>
                <w:sz w:val="24"/>
                <w:szCs w:val="24"/>
                <w:highlight w:val="none"/>
              </w:rPr>
            </w:pPr>
          </w:p>
        </w:tc>
        <w:tc>
          <w:tcPr>
            <w:tcW w:w="1422" w:type="dxa"/>
          </w:tcPr>
          <w:p w14:paraId="7D92A8CA">
            <w:pPr>
              <w:spacing w:line="360" w:lineRule="auto"/>
              <w:jc w:val="center"/>
              <w:rPr>
                <w:rFonts w:hint="eastAsia" w:ascii="宋体" w:hAnsi="宋体" w:cs="宋体"/>
                <w:color w:val="auto"/>
                <w:sz w:val="24"/>
                <w:szCs w:val="24"/>
                <w:highlight w:val="none"/>
              </w:rPr>
            </w:pPr>
          </w:p>
        </w:tc>
        <w:tc>
          <w:tcPr>
            <w:tcW w:w="5925" w:type="dxa"/>
          </w:tcPr>
          <w:p w14:paraId="2FB9A062">
            <w:pPr>
              <w:spacing w:line="360" w:lineRule="auto"/>
              <w:rPr>
                <w:rFonts w:hint="eastAsia" w:ascii="宋体" w:hAnsi="宋体" w:cs="宋体"/>
                <w:b/>
                <w:color w:val="auto"/>
                <w:sz w:val="24"/>
                <w:szCs w:val="24"/>
                <w:highlight w:val="none"/>
              </w:rPr>
            </w:pPr>
            <w:r>
              <w:rPr>
                <w:rFonts w:ascii="宋体" w:hAnsi="宋体" w:cs="宋体"/>
                <w:b/>
                <w:color w:val="auto"/>
                <w:sz w:val="24"/>
                <w:szCs w:val="24"/>
                <w:highlight w:val="none"/>
              </w:rPr>
              <w:t>*3、投标人须在投标文件中提供</w:t>
            </w:r>
            <w:r>
              <w:rPr>
                <w:rFonts w:hint="eastAsia" w:ascii="宋体" w:hAnsi="宋体" w:cs="宋体"/>
                <w:b/>
                <w:color w:val="auto"/>
                <w:sz w:val="24"/>
                <w:szCs w:val="24"/>
                <w:highlight w:val="none"/>
              </w:rPr>
              <w:t>书面承诺函：承诺接受《采购合同》中《服务考核细则》对其的考核并同意按考核情况处理。</w:t>
            </w:r>
          </w:p>
        </w:tc>
      </w:tr>
      <w:tr w14:paraId="00D68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2B91F46A">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45</w:t>
            </w:r>
          </w:p>
        </w:tc>
        <w:tc>
          <w:tcPr>
            <w:tcW w:w="696" w:type="dxa"/>
          </w:tcPr>
          <w:p w14:paraId="679A5DE2">
            <w:pPr>
              <w:spacing w:line="360" w:lineRule="auto"/>
              <w:jc w:val="center"/>
              <w:rPr>
                <w:rFonts w:hint="eastAsia" w:ascii="宋体" w:hAnsi="宋体" w:cs="宋体"/>
                <w:color w:val="auto"/>
                <w:sz w:val="24"/>
                <w:szCs w:val="24"/>
                <w:highlight w:val="none"/>
              </w:rPr>
            </w:pPr>
          </w:p>
        </w:tc>
        <w:tc>
          <w:tcPr>
            <w:tcW w:w="1422" w:type="dxa"/>
          </w:tcPr>
          <w:p w14:paraId="0AC4CF2B">
            <w:pPr>
              <w:spacing w:line="360" w:lineRule="auto"/>
              <w:jc w:val="center"/>
              <w:rPr>
                <w:rFonts w:hint="eastAsia" w:ascii="宋体" w:hAnsi="宋体" w:cs="宋体"/>
                <w:color w:val="auto"/>
                <w:sz w:val="24"/>
                <w:szCs w:val="24"/>
                <w:highlight w:val="none"/>
              </w:rPr>
            </w:pPr>
          </w:p>
        </w:tc>
        <w:tc>
          <w:tcPr>
            <w:tcW w:w="5925" w:type="dxa"/>
          </w:tcPr>
          <w:p w14:paraId="74A47B47">
            <w:pPr>
              <w:spacing w:line="360" w:lineRule="auto"/>
              <w:rPr>
                <w:rFonts w:hint="eastAsia" w:ascii="宋体" w:hAnsi="宋体" w:cs="宋体"/>
                <w:b/>
                <w:color w:val="auto"/>
                <w:sz w:val="24"/>
                <w:szCs w:val="24"/>
                <w:highlight w:val="none"/>
              </w:rPr>
            </w:pPr>
            <w:r>
              <w:rPr>
                <w:rFonts w:ascii="宋体" w:hAnsi="宋体" w:cs="宋体"/>
                <w:b/>
                <w:color w:val="auto"/>
                <w:sz w:val="24"/>
                <w:szCs w:val="24"/>
                <w:highlight w:val="none"/>
              </w:rPr>
              <w:t>*4、</w:t>
            </w:r>
            <w:r>
              <w:rPr>
                <w:rFonts w:hint="eastAsia" w:ascii="宋体" w:hAnsi="宋体"/>
                <w:b/>
                <w:color w:val="auto"/>
                <w:sz w:val="24"/>
                <w:szCs w:val="24"/>
                <w:highlight w:val="none"/>
              </w:rPr>
              <w:t>投标人</w:t>
            </w:r>
            <w:r>
              <w:rPr>
                <w:rFonts w:hint="eastAsia" w:ascii="宋体" w:hAnsi="宋体"/>
                <w:b/>
                <w:color w:val="auto"/>
                <w:sz w:val="24"/>
                <w:szCs w:val="24"/>
                <w:highlight w:val="none"/>
              </w:rPr>
              <w:t>同意</w:t>
            </w:r>
            <w:r>
              <w:rPr>
                <w:rFonts w:hint="eastAsia" w:ascii="宋体" w:hAnsi="宋体"/>
                <w:b/>
                <w:color w:val="auto"/>
                <w:sz w:val="24"/>
                <w:szCs w:val="24"/>
                <w:highlight w:val="none"/>
              </w:rPr>
              <w:t>提供备用纸100箱，其中1-1、1-2、1-6、1-7备用纸各15箱，1-3、1-4备用纸各10箱，1-11、1-12备用纸各10箱。共提供试用及测试用纸1-3  200箱。且于中标后第一次供货时一并提供。备用纸、试用及测试纸归采购单位所有，由采购单位自行调配，合同期满后亦不予返还中标供应商。</w:t>
            </w:r>
          </w:p>
        </w:tc>
      </w:tr>
      <w:tr w14:paraId="5FB8E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48BB285">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46</w:t>
            </w:r>
          </w:p>
        </w:tc>
        <w:tc>
          <w:tcPr>
            <w:tcW w:w="696" w:type="dxa"/>
          </w:tcPr>
          <w:p w14:paraId="64819E0D">
            <w:pPr>
              <w:spacing w:line="360" w:lineRule="auto"/>
              <w:jc w:val="center"/>
              <w:rPr>
                <w:rFonts w:hint="eastAsia" w:ascii="宋体" w:hAnsi="宋体" w:cs="宋体"/>
                <w:color w:val="auto"/>
                <w:sz w:val="24"/>
                <w:szCs w:val="24"/>
                <w:highlight w:val="none"/>
              </w:rPr>
            </w:pPr>
          </w:p>
        </w:tc>
        <w:tc>
          <w:tcPr>
            <w:tcW w:w="1422" w:type="dxa"/>
          </w:tcPr>
          <w:p w14:paraId="77338E11">
            <w:pPr>
              <w:spacing w:line="360" w:lineRule="auto"/>
              <w:jc w:val="center"/>
              <w:rPr>
                <w:rFonts w:hint="eastAsia" w:ascii="宋体" w:hAnsi="宋体" w:cs="宋体"/>
                <w:color w:val="auto"/>
                <w:sz w:val="24"/>
                <w:szCs w:val="24"/>
                <w:highlight w:val="none"/>
              </w:rPr>
            </w:pPr>
          </w:p>
        </w:tc>
        <w:tc>
          <w:tcPr>
            <w:tcW w:w="5925" w:type="dxa"/>
          </w:tcPr>
          <w:p w14:paraId="3E18AF31">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5、投标人须在投标文件中提供书面承诺函：承诺如果中标，应有指定的专人、专线服务电话对产品提供优质的售后服务。售后服务电话应每周5*8工作小时响应。接到需求电话，1工作小时内电话响应，4工作小时内上门（或处理）(注:上门服务时间，主要根据采购单位、使用单位需求而定。假如使用单位需要第二天上门处理的，要根据使用单位时间上门。但是同样的，如果使用单位需要晚上19：30后上门，中标供应商也要根据使用单位的要求上门。) 。</w:t>
            </w:r>
          </w:p>
        </w:tc>
      </w:tr>
      <w:tr w14:paraId="280E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307B4E60">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47</w:t>
            </w:r>
          </w:p>
        </w:tc>
        <w:tc>
          <w:tcPr>
            <w:tcW w:w="696" w:type="dxa"/>
          </w:tcPr>
          <w:p w14:paraId="06E967A3">
            <w:pPr>
              <w:spacing w:line="360" w:lineRule="auto"/>
              <w:jc w:val="center"/>
              <w:rPr>
                <w:rFonts w:hint="eastAsia" w:ascii="宋体" w:hAnsi="宋体" w:cs="宋体"/>
                <w:color w:val="auto"/>
                <w:sz w:val="24"/>
                <w:szCs w:val="24"/>
                <w:highlight w:val="none"/>
              </w:rPr>
            </w:pPr>
          </w:p>
        </w:tc>
        <w:tc>
          <w:tcPr>
            <w:tcW w:w="1422" w:type="dxa"/>
          </w:tcPr>
          <w:p w14:paraId="3029EF2D">
            <w:pPr>
              <w:spacing w:line="360" w:lineRule="auto"/>
              <w:jc w:val="center"/>
              <w:rPr>
                <w:rFonts w:hint="eastAsia" w:ascii="宋体" w:hAnsi="宋体" w:cs="宋体"/>
                <w:color w:val="auto"/>
                <w:sz w:val="24"/>
                <w:szCs w:val="24"/>
                <w:highlight w:val="none"/>
              </w:rPr>
            </w:pPr>
          </w:p>
        </w:tc>
        <w:tc>
          <w:tcPr>
            <w:tcW w:w="5925" w:type="dxa"/>
          </w:tcPr>
          <w:p w14:paraId="5556C178">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*7. 售后服务网点：投标人提供书面承诺函：承诺中标后可以提供厦门市的售后服务网点数量至少</w:t>
            </w:r>
            <w:r>
              <w:rPr>
                <w:rFonts w:ascii="宋体" w:hAnsi="宋体" w:cs="宋体"/>
                <w:b/>
                <w:color w:val="auto"/>
                <w:sz w:val="24"/>
                <w:szCs w:val="24"/>
                <w:highlight w:val="none"/>
              </w:rPr>
              <w:t>2个（含）且人员超过</w:t>
            </w:r>
            <w:r>
              <w:rPr>
                <w:rFonts w:hint="eastAsia" w:ascii="宋体" w:hAnsi="宋体" w:cs="宋体"/>
                <w:b/>
                <w:color w:val="auto"/>
                <w:sz w:val="24"/>
                <w:szCs w:val="24"/>
                <w:highlight w:val="none"/>
              </w:rPr>
              <w:t>1</w:t>
            </w:r>
            <w:r>
              <w:rPr>
                <w:rFonts w:ascii="宋体" w:hAnsi="宋体" w:cs="宋体"/>
                <w:b/>
                <w:color w:val="auto"/>
                <w:sz w:val="24"/>
                <w:szCs w:val="24"/>
                <w:highlight w:val="none"/>
              </w:rPr>
              <w:t>0个（含）。</w:t>
            </w:r>
          </w:p>
        </w:tc>
      </w:tr>
      <w:tr w14:paraId="485E0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1E2374BB">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48</w:t>
            </w:r>
          </w:p>
        </w:tc>
        <w:tc>
          <w:tcPr>
            <w:tcW w:w="696" w:type="dxa"/>
          </w:tcPr>
          <w:p w14:paraId="282DC2F8">
            <w:pPr>
              <w:spacing w:line="360" w:lineRule="auto"/>
              <w:jc w:val="center"/>
              <w:rPr>
                <w:rFonts w:hint="eastAsia" w:ascii="宋体" w:hAnsi="宋体" w:cs="宋体"/>
                <w:color w:val="auto"/>
                <w:sz w:val="24"/>
                <w:szCs w:val="24"/>
                <w:highlight w:val="none"/>
              </w:rPr>
            </w:pPr>
          </w:p>
        </w:tc>
        <w:tc>
          <w:tcPr>
            <w:tcW w:w="1422" w:type="dxa"/>
          </w:tcPr>
          <w:p w14:paraId="773529A3">
            <w:pPr>
              <w:spacing w:line="360" w:lineRule="auto"/>
              <w:jc w:val="center"/>
              <w:rPr>
                <w:rFonts w:hint="eastAsia" w:ascii="宋体" w:hAnsi="宋体" w:cs="宋体"/>
                <w:color w:val="auto"/>
                <w:sz w:val="24"/>
                <w:szCs w:val="24"/>
                <w:highlight w:val="none"/>
              </w:rPr>
            </w:pPr>
          </w:p>
        </w:tc>
        <w:tc>
          <w:tcPr>
            <w:tcW w:w="5925" w:type="dxa"/>
          </w:tcPr>
          <w:p w14:paraId="374EB83B">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四、报价要求</w:t>
            </w:r>
          </w:p>
          <w:p w14:paraId="53826EBA">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*1、投标人报价不得超过本项目采购预算人民币</w:t>
            </w:r>
            <w:r>
              <w:rPr>
                <w:rFonts w:ascii="宋体" w:hAnsi="宋体" w:cs="宋体"/>
                <w:b/>
                <w:color w:val="auto"/>
                <w:sz w:val="24"/>
                <w:szCs w:val="24"/>
                <w:highlight w:val="none"/>
              </w:rPr>
              <w:t>46887878.14</w:t>
            </w:r>
            <w:r>
              <w:rPr>
                <w:rFonts w:hint="eastAsia" w:ascii="宋体" w:hAnsi="宋体" w:cs="宋体"/>
                <w:b/>
                <w:color w:val="auto"/>
                <w:sz w:val="24"/>
                <w:szCs w:val="24"/>
                <w:highlight w:val="none"/>
              </w:rPr>
              <w:t>元，且应按本项目各个品目号分别报价，各品目号报价不得超过其采购预算：品目号1-1人民币</w:t>
            </w:r>
            <w:r>
              <w:rPr>
                <w:rFonts w:ascii="宋体" w:hAnsi="宋体" w:cs="宋体"/>
                <w:b/>
                <w:color w:val="auto"/>
                <w:sz w:val="24"/>
                <w:szCs w:val="24"/>
                <w:highlight w:val="none"/>
              </w:rPr>
              <w:t>3042578.49</w:t>
            </w:r>
            <w:r>
              <w:rPr>
                <w:rFonts w:hint="eastAsia" w:ascii="宋体" w:hAnsi="宋体" w:cs="宋体"/>
                <w:b/>
                <w:color w:val="auto"/>
                <w:sz w:val="24"/>
                <w:szCs w:val="24"/>
                <w:highlight w:val="none"/>
              </w:rPr>
              <w:t>元，品目号1-2人民币</w:t>
            </w:r>
            <w:r>
              <w:rPr>
                <w:rFonts w:ascii="宋体" w:hAnsi="宋体" w:cs="宋体"/>
                <w:b/>
                <w:color w:val="auto"/>
                <w:sz w:val="24"/>
                <w:szCs w:val="24"/>
                <w:highlight w:val="none"/>
              </w:rPr>
              <w:t>1736120.80</w:t>
            </w:r>
            <w:r>
              <w:rPr>
                <w:rFonts w:hint="eastAsia" w:ascii="宋体" w:hAnsi="宋体" w:cs="宋体"/>
                <w:b/>
                <w:color w:val="auto"/>
                <w:sz w:val="24"/>
                <w:szCs w:val="24"/>
                <w:highlight w:val="none"/>
              </w:rPr>
              <w:t>元，品目号1-3人民币</w:t>
            </w:r>
            <w:r>
              <w:rPr>
                <w:rFonts w:ascii="宋体" w:hAnsi="宋体" w:cs="宋体"/>
                <w:b/>
                <w:color w:val="auto"/>
                <w:sz w:val="24"/>
                <w:szCs w:val="24"/>
                <w:highlight w:val="none"/>
              </w:rPr>
              <w:t>11519991.84</w:t>
            </w:r>
            <w:r>
              <w:rPr>
                <w:rFonts w:hint="eastAsia" w:ascii="宋体" w:hAnsi="宋体" w:cs="宋体"/>
                <w:b/>
                <w:color w:val="auto"/>
                <w:sz w:val="24"/>
                <w:szCs w:val="24"/>
                <w:highlight w:val="none"/>
              </w:rPr>
              <w:t>元，品目号1-4人民币</w:t>
            </w:r>
            <w:r>
              <w:rPr>
                <w:rFonts w:ascii="宋体" w:hAnsi="宋体" w:cs="宋体"/>
                <w:b/>
                <w:color w:val="auto"/>
                <w:sz w:val="24"/>
                <w:szCs w:val="24"/>
                <w:highlight w:val="none"/>
              </w:rPr>
              <w:t>9031301.20</w:t>
            </w:r>
            <w:r>
              <w:rPr>
                <w:rFonts w:hint="eastAsia" w:ascii="宋体" w:hAnsi="宋体" w:cs="宋体"/>
                <w:b/>
                <w:color w:val="auto"/>
                <w:sz w:val="24"/>
                <w:szCs w:val="24"/>
                <w:highlight w:val="none"/>
              </w:rPr>
              <w:t>元，品目号1-5人民币</w:t>
            </w:r>
            <w:r>
              <w:rPr>
                <w:rFonts w:ascii="宋体" w:hAnsi="宋体" w:cs="宋体"/>
                <w:b/>
                <w:color w:val="auto"/>
                <w:sz w:val="24"/>
                <w:szCs w:val="24"/>
                <w:highlight w:val="none"/>
              </w:rPr>
              <w:t>13580908.94</w:t>
            </w:r>
            <w:r>
              <w:rPr>
                <w:rFonts w:hint="eastAsia" w:ascii="宋体" w:hAnsi="宋体" w:cs="宋体"/>
                <w:b/>
                <w:color w:val="auto"/>
                <w:sz w:val="24"/>
                <w:szCs w:val="24"/>
                <w:highlight w:val="none"/>
              </w:rPr>
              <w:t>元，品目号1-6人民币</w:t>
            </w:r>
            <w:r>
              <w:rPr>
                <w:rFonts w:ascii="宋体" w:hAnsi="宋体" w:cs="宋体"/>
                <w:b/>
                <w:color w:val="auto"/>
                <w:sz w:val="24"/>
                <w:szCs w:val="24"/>
                <w:highlight w:val="none"/>
              </w:rPr>
              <w:t>1011059.79</w:t>
            </w:r>
            <w:r>
              <w:rPr>
                <w:rFonts w:hint="eastAsia" w:ascii="宋体" w:hAnsi="宋体" w:cs="宋体"/>
                <w:b/>
                <w:color w:val="auto"/>
                <w:sz w:val="24"/>
                <w:szCs w:val="24"/>
                <w:highlight w:val="none"/>
              </w:rPr>
              <w:t>元，品目号1-7人民币</w:t>
            </w:r>
            <w:r>
              <w:rPr>
                <w:rFonts w:ascii="宋体" w:hAnsi="宋体" w:cs="宋体"/>
                <w:b/>
                <w:color w:val="auto"/>
                <w:sz w:val="24"/>
                <w:szCs w:val="24"/>
                <w:highlight w:val="none"/>
              </w:rPr>
              <w:t>432839.80</w:t>
            </w:r>
            <w:r>
              <w:rPr>
                <w:rFonts w:hint="eastAsia" w:ascii="宋体" w:hAnsi="宋体" w:cs="宋体"/>
                <w:b/>
                <w:color w:val="auto"/>
                <w:sz w:val="24"/>
                <w:szCs w:val="24"/>
                <w:highlight w:val="none"/>
              </w:rPr>
              <w:t>元，品目号1-8人民币</w:t>
            </w:r>
            <w:r>
              <w:rPr>
                <w:rFonts w:ascii="宋体" w:hAnsi="宋体" w:cs="宋体"/>
                <w:b/>
                <w:color w:val="auto"/>
                <w:sz w:val="24"/>
                <w:szCs w:val="24"/>
                <w:highlight w:val="none"/>
              </w:rPr>
              <w:t>60925.08</w:t>
            </w:r>
            <w:r>
              <w:rPr>
                <w:rFonts w:hint="eastAsia" w:ascii="宋体" w:hAnsi="宋体" w:cs="宋体"/>
                <w:b/>
                <w:color w:val="auto"/>
                <w:sz w:val="24"/>
                <w:szCs w:val="24"/>
                <w:highlight w:val="none"/>
              </w:rPr>
              <w:t>元，品目号1-9人民币</w:t>
            </w:r>
            <w:r>
              <w:rPr>
                <w:rFonts w:ascii="宋体" w:hAnsi="宋体" w:cs="宋体"/>
                <w:b/>
                <w:color w:val="auto"/>
                <w:sz w:val="24"/>
                <w:szCs w:val="24"/>
                <w:highlight w:val="none"/>
              </w:rPr>
              <w:t>30386.20</w:t>
            </w:r>
            <w:r>
              <w:rPr>
                <w:rFonts w:hint="eastAsia" w:ascii="宋体" w:hAnsi="宋体" w:cs="宋体"/>
                <w:b/>
                <w:color w:val="auto"/>
                <w:sz w:val="24"/>
                <w:szCs w:val="24"/>
                <w:highlight w:val="none"/>
              </w:rPr>
              <w:t>元，品目号1-10人民币</w:t>
            </w:r>
            <w:r>
              <w:rPr>
                <w:rFonts w:ascii="宋体" w:hAnsi="宋体" w:cs="宋体"/>
                <w:b/>
                <w:color w:val="auto"/>
                <w:sz w:val="24"/>
                <w:szCs w:val="24"/>
                <w:highlight w:val="none"/>
              </w:rPr>
              <w:t>278496.00</w:t>
            </w:r>
            <w:r>
              <w:rPr>
                <w:rFonts w:hint="eastAsia" w:ascii="宋体" w:hAnsi="宋体" w:cs="宋体"/>
                <w:b/>
                <w:color w:val="auto"/>
                <w:sz w:val="24"/>
                <w:szCs w:val="24"/>
                <w:highlight w:val="none"/>
              </w:rPr>
              <w:t>元，品目号1-11人民币</w:t>
            </w:r>
            <w:r>
              <w:rPr>
                <w:rFonts w:ascii="宋体" w:hAnsi="宋体" w:cs="宋体"/>
                <w:b/>
                <w:color w:val="auto"/>
                <w:sz w:val="24"/>
                <w:szCs w:val="24"/>
                <w:highlight w:val="none"/>
              </w:rPr>
              <w:t>2165440.00</w:t>
            </w:r>
            <w:r>
              <w:rPr>
                <w:rFonts w:hint="eastAsia" w:ascii="宋体" w:hAnsi="宋体" w:cs="宋体"/>
                <w:b/>
                <w:color w:val="auto"/>
                <w:sz w:val="24"/>
                <w:szCs w:val="24"/>
                <w:highlight w:val="none"/>
              </w:rPr>
              <w:t>元，品目号1-12人民币</w:t>
            </w:r>
            <w:r>
              <w:rPr>
                <w:rFonts w:ascii="宋体" w:hAnsi="宋体" w:cs="宋体"/>
                <w:b/>
                <w:color w:val="auto"/>
                <w:sz w:val="24"/>
                <w:szCs w:val="24"/>
                <w:highlight w:val="none"/>
              </w:rPr>
              <w:t>773450.00</w:t>
            </w:r>
            <w:r>
              <w:rPr>
                <w:rFonts w:hint="eastAsia" w:ascii="宋体" w:hAnsi="宋体" w:cs="宋体"/>
                <w:b/>
                <w:color w:val="auto"/>
                <w:sz w:val="24"/>
                <w:szCs w:val="24"/>
                <w:highlight w:val="none"/>
              </w:rPr>
              <w:t>元，品目号1-13人民币</w:t>
            </w:r>
            <w:r>
              <w:rPr>
                <w:rFonts w:ascii="宋体" w:hAnsi="宋体" w:cs="宋体"/>
                <w:b/>
                <w:color w:val="auto"/>
                <w:sz w:val="24"/>
                <w:szCs w:val="24"/>
                <w:highlight w:val="none"/>
              </w:rPr>
              <w:t>406020.00</w:t>
            </w:r>
            <w:r>
              <w:rPr>
                <w:rFonts w:hint="eastAsia" w:ascii="宋体" w:hAnsi="宋体" w:cs="宋体"/>
                <w:b/>
                <w:color w:val="auto"/>
                <w:sz w:val="24"/>
                <w:szCs w:val="24"/>
                <w:highlight w:val="none"/>
              </w:rPr>
              <w:t>元，品目号1-14人民币</w:t>
            </w:r>
            <w:r>
              <w:rPr>
                <w:rFonts w:ascii="宋体" w:hAnsi="宋体" w:cs="宋体"/>
                <w:b/>
                <w:color w:val="auto"/>
                <w:sz w:val="24"/>
                <w:szCs w:val="24"/>
                <w:highlight w:val="none"/>
              </w:rPr>
              <w:t>154690.00</w:t>
            </w:r>
            <w:r>
              <w:rPr>
                <w:rFonts w:hint="eastAsia" w:ascii="宋体" w:hAnsi="宋体" w:cs="宋体"/>
                <w:b/>
                <w:color w:val="auto"/>
                <w:sz w:val="24"/>
                <w:szCs w:val="24"/>
                <w:highlight w:val="none"/>
              </w:rPr>
              <w:t>元，品目号1-15人民币</w:t>
            </w:r>
            <w:r>
              <w:rPr>
                <w:rFonts w:ascii="宋体" w:hAnsi="宋体" w:cs="宋体"/>
                <w:b/>
                <w:color w:val="auto"/>
                <w:sz w:val="24"/>
                <w:szCs w:val="24"/>
                <w:highlight w:val="none"/>
              </w:rPr>
              <w:t>2559200.00</w:t>
            </w:r>
            <w:r>
              <w:rPr>
                <w:rFonts w:hint="eastAsia" w:ascii="宋体" w:hAnsi="宋体" w:cs="宋体"/>
                <w:b/>
                <w:color w:val="auto"/>
                <w:sz w:val="24"/>
                <w:szCs w:val="24"/>
                <w:highlight w:val="none"/>
              </w:rPr>
              <w:t>元，品目号1-16人民币</w:t>
            </w:r>
            <w:r>
              <w:rPr>
                <w:rFonts w:ascii="宋体" w:hAnsi="宋体" w:cs="宋体"/>
                <w:b/>
                <w:color w:val="auto"/>
                <w:sz w:val="24"/>
                <w:szCs w:val="24"/>
                <w:highlight w:val="none"/>
              </w:rPr>
              <w:t>104470.00</w:t>
            </w:r>
            <w:r>
              <w:rPr>
                <w:rFonts w:hint="eastAsia" w:ascii="宋体" w:hAnsi="宋体" w:cs="宋体"/>
                <w:b/>
                <w:color w:val="auto"/>
                <w:sz w:val="24"/>
                <w:szCs w:val="24"/>
                <w:highlight w:val="none"/>
              </w:rPr>
              <w:t>元。</w:t>
            </w:r>
          </w:p>
        </w:tc>
      </w:tr>
      <w:tr w14:paraId="5B960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1E59F50C">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49</w:t>
            </w:r>
          </w:p>
        </w:tc>
        <w:tc>
          <w:tcPr>
            <w:tcW w:w="696" w:type="dxa"/>
          </w:tcPr>
          <w:p w14:paraId="54206E49">
            <w:pPr>
              <w:spacing w:line="360" w:lineRule="auto"/>
              <w:jc w:val="center"/>
              <w:rPr>
                <w:rFonts w:hint="eastAsia" w:ascii="宋体" w:hAnsi="宋体" w:cs="宋体"/>
                <w:color w:val="auto"/>
                <w:sz w:val="24"/>
                <w:szCs w:val="24"/>
                <w:highlight w:val="none"/>
              </w:rPr>
            </w:pPr>
          </w:p>
        </w:tc>
        <w:tc>
          <w:tcPr>
            <w:tcW w:w="1422" w:type="dxa"/>
          </w:tcPr>
          <w:p w14:paraId="6F40E4EC">
            <w:pPr>
              <w:spacing w:line="360" w:lineRule="auto"/>
              <w:jc w:val="center"/>
              <w:rPr>
                <w:rFonts w:hint="eastAsia" w:ascii="宋体" w:hAnsi="宋体" w:cs="宋体"/>
                <w:color w:val="auto"/>
                <w:sz w:val="24"/>
                <w:szCs w:val="24"/>
                <w:highlight w:val="none"/>
              </w:rPr>
            </w:pPr>
          </w:p>
        </w:tc>
        <w:tc>
          <w:tcPr>
            <w:tcW w:w="5925" w:type="dxa"/>
          </w:tcPr>
          <w:p w14:paraId="36CF6B36">
            <w:pPr>
              <w:spacing w:line="360" w:lineRule="auto"/>
              <w:rPr>
                <w:rFonts w:hint="eastAsia" w:ascii="宋体" w:hAnsi="宋体" w:cs="宋体"/>
                <w:b/>
                <w:color w:val="auto"/>
                <w:sz w:val="24"/>
                <w:szCs w:val="24"/>
                <w:highlight w:val="none"/>
              </w:rPr>
            </w:pPr>
            <w:r>
              <w:rPr>
                <w:rFonts w:hint="eastAsia" w:ascii="宋体" w:hAnsi="宋体" w:cs="宋体"/>
                <w:b/>
                <w:bCs/>
                <w:color w:val="auto"/>
                <w:sz w:val="24"/>
                <w:szCs w:val="24"/>
                <w:highlight w:val="none"/>
              </w:rPr>
              <w:t>*2、投标人须以人民币报价且总报价含货物（复印纸）费、运至使用单位指定地点的运输费和伴随服务费、税费、验收等所有与完成本项目有关的一切费用（投标人可在分项报价表中详细列出报价，如果所列分项报价不含以上内容，则视为已含在报价总价中），本项目为交钥匙总包价。</w:t>
            </w:r>
          </w:p>
        </w:tc>
      </w:tr>
      <w:tr w14:paraId="2A8A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17F114B4">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50</w:t>
            </w:r>
          </w:p>
        </w:tc>
        <w:tc>
          <w:tcPr>
            <w:tcW w:w="696" w:type="dxa"/>
          </w:tcPr>
          <w:p w14:paraId="4B34D993">
            <w:pPr>
              <w:spacing w:line="360" w:lineRule="auto"/>
              <w:jc w:val="center"/>
              <w:rPr>
                <w:rFonts w:hint="eastAsia" w:ascii="宋体" w:hAnsi="宋体" w:cs="宋体"/>
                <w:color w:val="auto"/>
                <w:sz w:val="24"/>
                <w:szCs w:val="24"/>
                <w:highlight w:val="none"/>
              </w:rPr>
            </w:pPr>
          </w:p>
        </w:tc>
        <w:tc>
          <w:tcPr>
            <w:tcW w:w="1422" w:type="dxa"/>
          </w:tcPr>
          <w:p w14:paraId="332969FC">
            <w:pPr>
              <w:spacing w:line="360" w:lineRule="auto"/>
              <w:jc w:val="center"/>
              <w:rPr>
                <w:rFonts w:hint="eastAsia" w:ascii="宋体" w:hAnsi="宋体" w:cs="宋体"/>
                <w:color w:val="auto"/>
                <w:sz w:val="24"/>
                <w:szCs w:val="24"/>
                <w:highlight w:val="none"/>
              </w:rPr>
            </w:pPr>
          </w:p>
        </w:tc>
        <w:tc>
          <w:tcPr>
            <w:tcW w:w="5925" w:type="dxa"/>
          </w:tcPr>
          <w:p w14:paraId="3DCC7ABC">
            <w:pPr>
              <w:spacing w:line="360" w:lineRule="auto"/>
              <w:rPr>
                <w:rFonts w:hint="eastAsia" w:ascii="宋体" w:hAnsi="宋体" w:cs="宋体"/>
                <w:b/>
                <w:color w:val="auto"/>
                <w:sz w:val="24"/>
                <w:szCs w:val="24"/>
                <w:highlight w:val="none"/>
              </w:rPr>
            </w:pPr>
            <w:r>
              <w:rPr>
                <w:rFonts w:hint="eastAsia" w:ascii="宋体" w:hAnsi="宋体" w:cs="宋体"/>
                <w:b/>
                <w:bCs/>
                <w:color w:val="auto"/>
                <w:sz w:val="24"/>
                <w:szCs w:val="24"/>
                <w:highlight w:val="none"/>
              </w:rPr>
              <w:t>*3、报价以人民币为货币单位，投标人必须列出招标货物一览表中各品目号货物的单价及总价。</w:t>
            </w:r>
          </w:p>
        </w:tc>
      </w:tr>
      <w:tr w14:paraId="0D45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7F5722B9">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51</w:t>
            </w:r>
          </w:p>
        </w:tc>
        <w:tc>
          <w:tcPr>
            <w:tcW w:w="696" w:type="dxa"/>
          </w:tcPr>
          <w:p w14:paraId="454A7C4C">
            <w:pPr>
              <w:spacing w:line="360" w:lineRule="auto"/>
              <w:jc w:val="center"/>
              <w:rPr>
                <w:rFonts w:hint="eastAsia" w:ascii="宋体" w:hAnsi="宋体" w:cs="宋体"/>
                <w:color w:val="auto"/>
                <w:sz w:val="24"/>
                <w:szCs w:val="24"/>
                <w:highlight w:val="none"/>
              </w:rPr>
            </w:pPr>
          </w:p>
        </w:tc>
        <w:tc>
          <w:tcPr>
            <w:tcW w:w="1422" w:type="dxa"/>
          </w:tcPr>
          <w:p w14:paraId="37121309">
            <w:pPr>
              <w:spacing w:line="360" w:lineRule="auto"/>
              <w:jc w:val="center"/>
              <w:rPr>
                <w:rFonts w:hint="eastAsia" w:ascii="宋体" w:hAnsi="宋体" w:cs="宋体"/>
                <w:color w:val="auto"/>
                <w:sz w:val="24"/>
                <w:szCs w:val="24"/>
                <w:highlight w:val="none"/>
              </w:rPr>
            </w:pPr>
          </w:p>
        </w:tc>
        <w:tc>
          <w:tcPr>
            <w:tcW w:w="5925" w:type="dxa"/>
          </w:tcPr>
          <w:p w14:paraId="004E437C">
            <w:pPr>
              <w:spacing w:line="360" w:lineRule="auto"/>
              <w:rPr>
                <w:rFonts w:hint="eastAsia" w:ascii="宋体" w:hAnsi="宋体" w:cs="宋体"/>
                <w:b/>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color w:val="auto"/>
                <w:sz w:val="24"/>
                <w:szCs w:val="24"/>
                <w:highlight w:val="none"/>
              </w:rPr>
              <w:t>4、投标人的投标方案与报价只能有一个，采购单位不接受有选择性的报价。</w:t>
            </w:r>
          </w:p>
        </w:tc>
      </w:tr>
      <w:tr w14:paraId="6DE2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1EE3273">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52</w:t>
            </w:r>
          </w:p>
        </w:tc>
        <w:tc>
          <w:tcPr>
            <w:tcW w:w="696" w:type="dxa"/>
          </w:tcPr>
          <w:p w14:paraId="1DDC5738">
            <w:pPr>
              <w:spacing w:line="360" w:lineRule="auto"/>
              <w:jc w:val="center"/>
              <w:rPr>
                <w:rFonts w:hint="eastAsia" w:ascii="宋体" w:hAnsi="宋体" w:cs="宋体"/>
                <w:color w:val="auto"/>
                <w:sz w:val="24"/>
                <w:szCs w:val="24"/>
                <w:highlight w:val="none"/>
              </w:rPr>
            </w:pPr>
          </w:p>
        </w:tc>
        <w:tc>
          <w:tcPr>
            <w:tcW w:w="1422" w:type="dxa"/>
          </w:tcPr>
          <w:p w14:paraId="0AA6EF49">
            <w:pPr>
              <w:spacing w:line="360" w:lineRule="auto"/>
              <w:jc w:val="center"/>
              <w:rPr>
                <w:rFonts w:hint="eastAsia" w:ascii="宋体" w:hAnsi="宋体" w:cs="宋体"/>
                <w:color w:val="auto"/>
                <w:sz w:val="24"/>
                <w:szCs w:val="24"/>
                <w:highlight w:val="none"/>
              </w:rPr>
            </w:pPr>
          </w:p>
        </w:tc>
        <w:tc>
          <w:tcPr>
            <w:tcW w:w="5925" w:type="dxa"/>
          </w:tcPr>
          <w:p w14:paraId="067D0584">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color w:val="auto"/>
                <w:sz w:val="24"/>
                <w:szCs w:val="24"/>
                <w:highlight w:val="none"/>
              </w:rPr>
              <w:t>5、交货方式：为了保障本项目货物存储及配送的及时性和安全性，同时兼顾大宗货物的集中仓储和集中配送运作模式的要求，本项目的货物仓储及配送可选择以下两种运作模式：</w:t>
            </w:r>
          </w:p>
          <w:p w14:paraId="0D17593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5.1投标人委托采购单位推荐的第三方物流公司进行集中仓储和二次配送至最终用户。</w:t>
            </w:r>
          </w:p>
          <w:p w14:paraId="74572FDD">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5.1.1投标人在接到采购单位《定货单》之日起25个日历日之内货交至采购单位推荐的第三方物流仓库，第三方物流在接到采购单位通知后厦门市行政区域内24小时、厦门市行政区域外48小时内运送至最终用户。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二次配送费用为9元/箱，仓储操作费6元/箱。投标人应在采购单位发出《定货单》之日起10个工作日内结算已产生的相关物流费用，若投标人未及时结算物流费用，采购单位有权在履约保证金或应付货款中直接扣除。</w:t>
            </w:r>
          </w:p>
          <w:p w14:paraId="6EEBB95C">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5.2投标人选择经采购单位评估认可的、符合本项目运作要求的合格第三方物流公司进行集中仓储和二次配送。合同签订后 10 个日历日内，投标人或第三方物流公司的仓储管理系统（WMS）、配送管理系统（TMS），需要实现与采购单位企业资源计划（ERP）系统的全流程技术对接，以确保系统间数据实时互通、同步一致，相关技术实施、系统对接工作及采购单位 ERP 系统接口改造相关工作，均由投标人全权负责。所有相关费用（含接口开发、调试、联调、ERP 接口改造及后期维护等全部费用）均由投标人承担，采购单位不额外支付任何费用。投标人在接到采购单位通知后厦门市行政区域内 24 小时、厦门市行政区域外 48 小时内将货物运送至最终用户。</w:t>
            </w:r>
          </w:p>
          <w:p w14:paraId="7996A317">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5.2.1采购单位对第三方物流公司的评估标准包括但不限于：</w:t>
            </w:r>
          </w:p>
          <w:p w14:paraId="689900A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（1）经营主体需具备合法经营资格及开展仓配业务的相关资质，提供完整、有效、清晰的扫描文件，包括不限于营业执照、道路运输经营运营许可等，确保资质合规且在有效期内。</w:t>
            </w:r>
          </w:p>
          <w:p w14:paraId="7E870B92">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自有或者租赁的经营场所权属清晰，需提供相应证明材料如产权证、租赁合同等扫描件，运营场所需能满足常规商品存储需求（防潮、防污、防破损、防霉变）、功能区划分布局合理，需提供仓储规划方案和照片。</w:t>
            </w:r>
          </w:p>
          <w:p w14:paraId="6CC9FAF7">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（3）仓库建筑消防等级不低于二级，符合《建筑设计防火规范》（GB 50016）相关要求，并经消防部门验收合格，需提供有效的消防验收意见书，消防设施设备配置齐全、完好有效。</w:t>
            </w:r>
          </w:p>
          <w:p w14:paraId="2016920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日常消防维保和电气检测，需要建立消防设施设备日常维护保养制度，每半年委托具备资质的第三方机构进行一次全面检测，确保消防设施设备始终处于良好运行状态，每一年委托具备资质的第三方机构进行一次电气消防安全检测，需提供消防维保计划和电气消防安全检测报告。</w:t>
            </w:r>
          </w:p>
          <w:p w14:paraId="7A08CF22">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经营主体配备有充足、完善的仓储装卸、配送车辆等硬件设备，满足仓配业务的高效运营需求，包括不限于叉车、托盘车、夹包机、液压车、托盘、各规格的配送车辆、推车等物流设备；设备日常维护到位，确保作业顺畅，需提供详细的货物装卸和货物配送方案。</w:t>
            </w:r>
          </w:p>
          <w:p w14:paraId="64D3A45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6）经营主体需具备完善的物流信息管理系统，实现仓配业务全流程信息化、智能化管理，确保货物入库、存储、分拣、出库、配送等环节可追溯、高效协同。仓储管理系统除正常的商品管理和分拣功能外，需可实现先进先出管理、质保期管控等模块；物流配送管理系统需可实时反馈订单状态并上传订单签收信息。需提供物流信息管理系统各功能模块照片。</w:t>
            </w:r>
          </w:p>
          <w:p w14:paraId="7D3A297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（7）经营主体需购买足额的货物仓储一切险、货物运输险，保额和保险期限覆盖最高库存峰值以及整个合作周期，能够有效应对货物损坏、丢失、意外事故等风险，需要提供完整的保险保单及投保证明。</w:t>
            </w:r>
          </w:p>
          <w:p w14:paraId="1915363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8）需提供完善的应急处置方案，针对自然灾害、人为事故、特殊客诉等突发事件，提前制定应急预案，配备相应应急物资（如灭火器、急救箱、应急车辆等），定期组织应急演练，优化应急方案，确保突发事件发生时能够及时响应、有效处置，最大限度减少损失。</w:t>
            </w:r>
          </w:p>
          <w:p w14:paraId="3A45D9C6">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5.2.2系统对接的标准规范和内容要求如下：</w:t>
            </w:r>
          </w:p>
          <w:p w14:paraId="096B0E70">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（1）系统对接须遵循采购单位ERP系统既定的技术标准及接口规范，采用标准化接口协议（优先支持RESTful API或WebService协议），实现接口双向通信及数据实时交互，对接过程需严格遵守采购单位数据安全管理规定，采取加密传输（如HTTPS协议）、身份认证（如Token令牌验证）、数据脱敏等安全措施，严防数据泄露、篡改、丢失，确保数据传输及存储的安全性、完整性和保密性。</w:t>
            </w:r>
          </w:p>
          <w:p w14:paraId="40BB610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对接内容须全面覆盖本项目全流程业务数据，确保无遗漏、无延迟，具体包括但不限于：库存数据（实时库存数量、库存位置、库存状态、滞销/临期库存预警）、采购到货数据（预计到货时间、到货批次、到货数量、供应商信息）、出库发货数据（已发货数量、发货批次、发货时间、收货方信息）、待发运数据（即将发货数量、待发运清单、发运优先级）、物流跟踪数据（发货单编号、承运司机姓名及联系方式、车牌号码、车辆定位、实时运输状态、司机实时在线状态、司机实时位置更新、司机行程轨迹回溯）、时效管理数据（预计到货时间、实际到货时间、时效偏差预警）、退换货数据（退换货申请信息、退换货原因、退换货数量、退换货入库状态、理赔进度）等核心业务信息，同时须支持司机实时相关功能，包括但不限于司机实时在线状态监测、司机实时位置动态更新、司机行程轨迹实时回溯及异常情况（如偏离路线、停留超时）实时预警，确保采购单位可通过ERP系统实时监控、查询本项目仓储配送全流程及司机作业状态，保障配送及时性、准确性及安全性。</w:t>
            </w:r>
          </w:p>
          <w:p w14:paraId="7D5F4D1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（3）仓储管理系统和配送管理系统可支撑本项目业务量峰值及未来业务拓展需求，接口响应时间≤300ms，数据同步延迟≤3分钟，系统全年可用率≥99.9%，无重大系统故障（单次故障持续时间≤1小时）。</w:t>
            </w:r>
          </w:p>
          <w:p w14:paraId="6834DF1B">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系统对接完成后，投标人须提交完整的接口开发文档、测试报告（含功能测试、性能测试、安全测试、兼容性测试）、系统部署文档、操作手册及维护方案，由采购单位技术部门组织专项验收，验收内容包括接口功能完整性、数据传输准确性、系统稳定性、安全性及文档规范性等，验收合格并出具验收报告后，系统方可正式投入使用；若验收不合格，投标人须在采购单位指定期限内完成整改，整改费用由投标人自行承担，若逾期未完成整改或整改后仍不合格，为了保障本项目顺利运行，采购单位有权要求投标人使用采购单位推荐的第三方物流公司，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二次配送费用为9元/箱，仓储操作费6元/箱。投标人应在采购单位发出《定货单》之日起10个工作日内结算已产生的相关物流费用，若投标人未及时结算物流费用，采购单位有权在履约保证金或应付货款中直接扣除。</w:t>
            </w:r>
          </w:p>
          <w:p w14:paraId="3704963C">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5.2.3投标人在接到采购单位《定货单》之日起25个日历日之内货交至投标人自有的仓库或第三方物流仓库，投标人在接到采购单位通知后厦门市行政区域内24小时、厦门市行政区域外48小时内运送至最终用户。</w:t>
            </w:r>
          </w:p>
        </w:tc>
      </w:tr>
      <w:tr w14:paraId="6828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33EF875D">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53</w:t>
            </w:r>
          </w:p>
        </w:tc>
        <w:tc>
          <w:tcPr>
            <w:tcW w:w="696" w:type="dxa"/>
          </w:tcPr>
          <w:p w14:paraId="4284C353">
            <w:pPr>
              <w:spacing w:line="360" w:lineRule="auto"/>
              <w:jc w:val="center"/>
              <w:rPr>
                <w:rFonts w:hint="eastAsia" w:ascii="宋体" w:hAnsi="宋体" w:cs="宋体"/>
                <w:color w:val="auto"/>
                <w:sz w:val="24"/>
                <w:szCs w:val="24"/>
                <w:highlight w:val="none"/>
              </w:rPr>
            </w:pPr>
          </w:p>
        </w:tc>
        <w:tc>
          <w:tcPr>
            <w:tcW w:w="1422" w:type="dxa"/>
          </w:tcPr>
          <w:p w14:paraId="579F8357">
            <w:pPr>
              <w:spacing w:line="360" w:lineRule="auto"/>
              <w:jc w:val="center"/>
              <w:rPr>
                <w:rFonts w:hint="eastAsia" w:ascii="宋体" w:hAnsi="宋体" w:cs="宋体"/>
                <w:color w:val="auto"/>
                <w:sz w:val="24"/>
                <w:szCs w:val="24"/>
                <w:highlight w:val="none"/>
              </w:rPr>
            </w:pPr>
          </w:p>
        </w:tc>
        <w:tc>
          <w:tcPr>
            <w:tcW w:w="5925" w:type="dxa"/>
          </w:tcPr>
          <w:p w14:paraId="473D7B6F">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五、付款方式</w:t>
            </w:r>
          </w:p>
          <w:p w14:paraId="6ADBD93E">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*1、交货方式：合同签订后分批供货，按批次支付货款。</w:t>
            </w:r>
          </w:p>
        </w:tc>
      </w:tr>
      <w:tr w14:paraId="06DE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9E1967A">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54</w:t>
            </w:r>
          </w:p>
        </w:tc>
        <w:tc>
          <w:tcPr>
            <w:tcW w:w="696" w:type="dxa"/>
          </w:tcPr>
          <w:p w14:paraId="7A568C24">
            <w:pPr>
              <w:spacing w:line="360" w:lineRule="auto"/>
              <w:jc w:val="center"/>
              <w:rPr>
                <w:rFonts w:hint="eastAsia" w:ascii="宋体" w:hAnsi="宋体" w:cs="宋体"/>
                <w:color w:val="auto"/>
                <w:sz w:val="24"/>
                <w:szCs w:val="24"/>
                <w:highlight w:val="none"/>
              </w:rPr>
            </w:pPr>
          </w:p>
        </w:tc>
        <w:tc>
          <w:tcPr>
            <w:tcW w:w="1422" w:type="dxa"/>
          </w:tcPr>
          <w:p w14:paraId="2802CFE9">
            <w:pPr>
              <w:spacing w:line="360" w:lineRule="auto"/>
              <w:jc w:val="center"/>
              <w:rPr>
                <w:rFonts w:hint="eastAsia" w:ascii="宋体" w:hAnsi="宋体" w:cs="宋体"/>
                <w:color w:val="auto"/>
                <w:sz w:val="24"/>
                <w:szCs w:val="24"/>
                <w:highlight w:val="none"/>
              </w:rPr>
            </w:pPr>
          </w:p>
        </w:tc>
        <w:tc>
          <w:tcPr>
            <w:tcW w:w="5925" w:type="dxa"/>
          </w:tcPr>
          <w:p w14:paraId="05CA7108">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2.1、投标人选择委托采购单位推荐的第三方物流进行集中仓储和二次配送的，货交至采购单位推荐的第三方物流仓库，经采购单位初验合格后，采购单位凭下列单证和文件在30个日历日内向投标人支付该批次货款金额100%的6个月承兑期限的银行承兑汇票（银行范围仅限下述银行：中国银行、中国农业银行 、中国工商银行、中国建设银行、中信银行、光大银行、华夏银行、广东发展银行、深圳发展银行、招商银行、上海浦东发展银行、兴业银行、民生银行和平安银行）：</w:t>
            </w:r>
          </w:p>
          <w:p w14:paraId="0435B052">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a.金额为100%的该批次货款的一般纳税人增值税专用发票；</w:t>
            </w:r>
          </w:p>
          <w:p w14:paraId="4C87994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b.投标人已缴纳该批货物的中标/成交服务费和相应的二次配送费用、仓储操作费的证明材料；</w:t>
            </w:r>
          </w:p>
          <w:p w14:paraId="41604896">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c.采购单位已收讫的该批次货物的《签收单》。</w:t>
            </w:r>
          </w:p>
          <w:p w14:paraId="6D562205">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但是，采购单位向投标人支付货款并不表示送入仓库的货物通过最终验收。</w:t>
            </w:r>
          </w:p>
        </w:tc>
      </w:tr>
      <w:tr w14:paraId="08A7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45F7556">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55</w:t>
            </w:r>
          </w:p>
        </w:tc>
        <w:tc>
          <w:tcPr>
            <w:tcW w:w="696" w:type="dxa"/>
          </w:tcPr>
          <w:p w14:paraId="53E9792C">
            <w:pPr>
              <w:spacing w:line="360" w:lineRule="auto"/>
              <w:jc w:val="center"/>
              <w:rPr>
                <w:rFonts w:hint="eastAsia" w:ascii="宋体" w:hAnsi="宋体" w:cs="宋体"/>
                <w:color w:val="auto"/>
                <w:sz w:val="24"/>
                <w:szCs w:val="24"/>
                <w:highlight w:val="none"/>
              </w:rPr>
            </w:pPr>
          </w:p>
        </w:tc>
        <w:tc>
          <w:tcPr>
            <w:tcW w:w="1422" w:type="dxa"/>
          </w:tcPr>
          <w:p w14:paraId="2577A7F1">
            <w:pPr>
              <w:spacing w:line="360" w:lineRule="auto"/>
              <w:jc w:val="center"/>
              <w:rPr>
                <w:rFonts w:hint="eastAsia" w:ascii="宋体" w:hAnsi="宋体" w:cs="宋体"/>
                <w:color w:val="auto"/>
                <w:sz w:val="24"/>
                <w:szCs w:val="24"/>
                <w:highlight w:val="none"/>
              </w:rPr>
            </w:pPr>
          </w:p>
        </w:tc>
        <w:tc>
          <w:tcPr>
            <w:tcW w:w="5925" w:type="dxa"/>
          </w:tcPr>
          <w:p w14:paraId="3855B95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2.2、投标人选择自行集中仓储和配送的，货物经最终用户签收并验收合格后，采购单位凭下列单证和文件在30个日历日内向投标人支付该批次货款金额100%的6个月承兑期限的银行承兑汇票（银行范围仅限下述银行：中国银行、中国农业银行 、中国工商银行、中国建设银行、中信银行、光大银行、华夏银行、广东发展银行、深圳发展银行、招商银行、上海浦东发展银行、兴业银行、民生银行和平安银行）：</w:t>
            </w:r>
          </w:p>
          <w:p w14:paraId="0A3A0963">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a.金额为100%的该批次货款的一般纳税人增值税专用发票；</w:t>
            </w:r>
          </w:p>
          <w:p w14:paraId="273F1390">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b.投标人已缴纳该批货物的中标服务费的证明材料；</w:t>
            </w:r>
          </w:p>
          <w:p w14:paraId="36D0EE24">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c. 该批次货物的《验收报告》(经最终用户签署)。</w:t>
            </w:r>
          </w:p>
        </w:tc>
      </w:tr>
      <w:tr w14:paraId="6AC2E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1BDF8979">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56</w:t>
            </w:r>
          </w:p>
        </w:tc>
        <w:tc>
          <w:tcPr>
            <w:tcW w:w="696" w:type="dxa"/>
          </w:tcPr>
          <w:p w14:paraId="4E7F37A9">
            <w:pPr>
              <w:spacing w:line="360" w:lineRule="auto"/>
              <w:jc w:val="center"/>
              <w:rPr>
                <w:rFonts w:hint="eastAsia" w:ascii="宋体" w:hAnsi="宋体" w:cs="宋体"/>
                <w:color w:val="auto"/>
                <w:sz w:val="24"/>
                <w:szCs w:val="24"/>
                <w:highlight w:val="none"/>
              </w:rPr>
            </w:pPr>
          </w:p>
        </w:tc>
        <w:tc>
          <w:tcPr>
            <w:tcW w:w="1422" w:type="dxa"/>
          </w:tcPr>
          <w:p w14:paraId="56B23ED8">
            <w:pPr>
              <w:spacing w:line="360" w:lineRule="auto"/>
              <w:jc w:val="center"/>
              <w:rPr>
                <w:rFonts w:hint="eastAsia" w:ascii="宋体" w:hAnsi="宋体" w:cs="宋体"/>
                <w:color w:val="auto"/>
                <w:sz w:val="24"/>
                <w:szCs w:val="24"/>
                <w:highlight w:val="none"/>
              </w:rPr>
            </w:pPr>
          </w:p>
        </w:tc>
        <w:tc>
          <w:tcPr>
            <w:tcW w:w="5925" w:type="dxa"/>
          </w:tcPr>
          <w:p w14:paraId="5A278273">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*3、上述银行承兑汇票的贴现利息及相关贴现手续费用由中标供应商承担，中标供应商收到汇票即视为采购单位已支付货款。</w:t>
            </w:r>
          </w:p>
        </w:tc>
      </w:tr>
      <w:tr w14:paraId="5DB0A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0E31A4C9">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57</w:t>
            </w:r>
          </w:p>
        </w:tc>
        <w:tc>
          <w:tcPr>
            <w:tcW w:w="696" w:type="dxa"/>
          </w:tcPr>
          <w:p w14:paraId="607CA808">
            <w:pPr>
              <w:spacing w:line="360" w:lineRule="auto"/>
              <w:jc w:val="center"/>
              <w:rPr>
                <w:rFonts w:hint="eastAsia" w:ascii="宋体" w:hAnsi="宋体" w:cs="宋体"/>
                <w:color w:val="auto"/>
                <w:sz w:val="24"/>
                <w:szCs w:val="24"/>
                <w:highlight w:val="none"/>
              </w:rPr>
            </w:pPr>
          </w:p>
        </w:tc>
        <w:tc>
          <w:tcPr>
            <w:tcW w:w="1422" w:type="dxa"/>
          </w:tcPr>
          <w:p w14:paraId="09DF7BEA">
            <w:pPr>
              <w:spacing w:line="360" w:lineRule="auto"/>
              <w:jc w:val="center"/>
              <w:rPr>
                <w:rFonts w:hint="eastAsia" w:ascii="宋体" w:hAnsi="宋体" w:cs="宋体"/>
                <w:color w:val="auto"/>
                <w:sz w:val="24"/>
                <w:szCs w:val="24"/>
                <w:highlight w:val="none"/>
              </w:rPr>
            </w:pPr>
          </w:p>
        </w:tc>
        <w:tc>
          <w:tcPr>
            <w:tcW w:w="5925" w:type="dxa"/>
          </w:tcPr>
          <w:p w14:paraId="65BECB17">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*4、总报价为送至采购单位指定地点的完税人民币价格；采购单位付款时，中标供应商必须提供一般纳税人增值税专用发票。否则，采购单位有权拒绝支付相应款项。</w:t>
            </w:r>
          </w:p>
          <w:p w14:paraId="7E91A79E">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备注：投标人可提出比以上内容更有利于采购单位的付款方式。</w:t>
            </w:r>
          </w:p>
        </w:tc>
      </w:tr>
      <w:tr w14:paraId="5F7B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640918A8">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58</w:t>
            </w:r>
          </w:p>
        </w:tc>
        <w:tc>
          <w:tcPr>
            <w:tcW w:w="696" w:type="dxa"/>
          </w:tcPr>
          <w:p w14:paraId="29B67944">
            <w:pPr>
              <w:spacing w:line="360" w:lineRule="auto"/>
              <w:jc w:val="center"/>
              <w:rPr>
                <w:rFonts w:hint="eastAsia" w:ascii="宋体" w:hAnsi="宋体" w:cs="宋体"/>
                <w:color w:val="auto"/>
                <w:sz w:val="24"/>
                <w:szCs w:val="24"/>
                <w:highlight w:val="none"/>
              </w:rPr>
            </w:pPr>
          </w:p>
        </w:tc>
        <w:tc>
          <w:tcPr>
            <w:tcW w:w="1422" w:type="dxa"/>
          </w:tcPr>
          <w:p w14:paraId="36903414">
            <w:pPr>
              <w:spacing w:line="360" w:lineRule="auto"/>
              <w:jc w:val="center"/>
              <w:rPr>
                <w:rFonts w:hint="eastAsia" w:ascii="宋体" w:hAnsi="宋体" w:cs="宋体"/>
                <w:color w:val="auto"/>
                <w:sz w:val="24"/>
                <w:szCs w:val="24"/>
                <w:highlight w:val="none"/>
              </w:rPr>
            </w:pPr>
          </w:p>
        </w:tc>
        <w:tc>
          <w:tcPr>
            <w:tcW w:w="5925" w:type="dxa"/>
          </w:tcPr>
          <w:p w14:paraId="665A1EE5">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六、其他要求及说明</w:t>
            </w:r>
          </w:p>
          <w:p w14:paraId="36997D47">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*1、供货期：一年。若合同到期之日下一期采购合同尚未生效，本合同自动顺延至下一期新的合同生效之日止。</w:t>
            </w:r>
          </w:p>
        </w:tc>
      </w:tr>
      <w:tr w14:paraId="74BF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7CCA80C4">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59</w:t>
            </w:r>
          </w:p>
        </w:tc>
        <w:tc>
          <w:tcPr>
            <w:tcW w:w="696" w:type="dxa"/>
          </w:tcPr>
          <w:p w14:paraId="322CBBC7">
            <w:pPr>
              <w:spacing w:line="360" w:lineRule="auto"/>
              <w:jc w:val="center"/>
              <w:rPr>
                <w:rFonts w:hint="eastAsia" w:ascii="宋体" w:hAnsi="宋体" w:cs="宋体"/>
                <w:color w:val="auto"/>
                <w:sz w:val="24"/>
                <w:szCs w:val="24"/>
                <w:highlight w:val="none"/>
              </w:rPr>
            </w:pPr>
          </w:p>
        </w:tc>
        <w:tc>
          <w:tcPr>
            <w:tcW w:w="1422" w:type="dxa"/>
          </w:tcPr>
          <w:p w14:paraId="53815B5E">
            <w:pPr>
              <w:spacing w:line="360" w:lineRule="auto"/>
              <w:jc w:val="center"/>
              <w:rPr>
                <w:rFonts w:hint="eastAsia" w:ascii="宋体" w:hAnsi="宋体" w:cs="宋体"/>
                <w:color w:val="auto"/>
                <w:sz w:val="24"/>
                <w:szCs w:val="24"/>
                <w:highlight w:val="none"/>
              </w:rPr>
            </w:pPr>
          </w:p>
        </w:tc>
        <w:tc>
          <w:tcPr>
            <w:tcW w:w="5925" w:type="dxa"/>
          </w:tcPr>
          <w:p w14:paraId="30C79B92">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*2、投标人需对交货期做出承诺，并提供书面承诺函。其中承诺的交货期不得超过25个日历日。</w:t>
            </w:r>
          </w:p>
        </w:tc>
      </w:tr>
      <w:tr w14:paraId="490F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233635AD">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60</w:t>
            </w:r>
          </w:p>
        </w:tc>
        <w:tc>
          <w:tcPr>
            <w:tcW w:w="696" w:type="dxa"/>
          </w:tcPr>
          <w:p w14:paraId="575F8EF3">
            <w:pPr>
              <w:spacing w:line="360" w:lineRule="auto"/>
              <w:jc w:val="center"/>
              <w:rPr>
                <w:rFonts w:hint="eastAsia" w:ascii="宋体" w:hAnsi="宋体" w:cs="宋体"/>
                <w:color w:val="auto"/>
                <w:sz w:val="24"/>
                <w:szCs w:val="24"/>
                <w:highlight w:val="none"/>
              </w:rPr>
            </w:pPr>
          </w:p>
        </w:tc>
        <w:tc>
          <w:tcPr>
            <w:tcW w:w="1422" w:type="dxa"/>
          </w:tcPr>
          <w:p w14:paraId="7C402C32">
            <w:pPr>
              <w:spacing w:line="360" w:lineRule="auto"/>
              <w:jc w:val="center"/>
              <w:rPr>
                <w:rFonts w:hint="eastAsia" w:ascii="宋体" w:hAnsi="宋体" w:cs="宋体"/>
                <w:color w:val="auto"/>
                <w:sz w:val="24"/>
                <w:szCs w:val="24"/>
                <w:highlight w:val="none"/>
              </w:rPr>
            </w:pPr>
          </w:p>
        </w:tc>
        <w:tc>
          <w:tcPr>
            <w:tcW w:w="5925" w:type="dxa"/>
          </w:tcPr>
          <w:p w14:paraId="558B2D81">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4、投标人必须在投标文件中提供书面承诺函：一旦中标，承诺在合同签订之日起7个日历日内向采购单位交纳履约保证金（100万元整），履约保证金形式可为转账支票或电汇凭证（不收取现金、现金支票）。履约保证金在合同签订生效后15个月后的15个工作日内一次性无息返还（扣除相应费用）。逾期未缴交的，采购单位有权取消其中标资格并上报政府采购监督管理部门。</w:t>
            </w:r>
          </w:p>
        </w:tc>
      </w:tr>
      <w:tr w14:paraId="24DB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07E9840C">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61</w:t>
            </w:r>
          </w:p>
        </w:tc>
        <w:tc>
          <w:tcPr>
            <w:tcW w:w="696" w:type="dxa"/>
          </w:tcPr>
          <w:p w14:paraId="25E484C6">
            <w:pPr>
              <w:spacing w:line="360" w:lineRule="auto"/>
              <w:jc w:val="center"/>
              <w:rPr>
                <w:rFonts w:hint="eastAsia" w:ascii="宋体" w:hAnsi="宋体" w:cs="宋体"/>
                <w:color w:val="auto"/>
                <w:sz w:val="24"/>
                <w:szCs w:val="24"/>
                <w:highlight w:val="none"/>
              </w:rPr>
            </w:pPr>
          </w:p>
        </w:tc>
        <w:tc>
          <w:tcPr>
            <w:tcW w:w="1422" w:type="dxa"/>
          </w:tcPr>
          <w:p w14:paraId="576010D8">
            <w:pPr>
              <w:spacing w:line="360" w:lineRule="auto"/>
              <w:jc w:val="center"/>
              <w:rPr>
                <w:rFonts w:hint="eastAsia" w:ascii="宋体" w:hAnsi="宋体" w:cs="宋体"/>
                <w:color w:val="auto"/>
                <w:sz w:val="24"/>
                <w:szCs w:val="24"/>
                <w:highlight w:val="none"/>
              </w:rPr>
            </w:pPr>
          </w:p>
        </w:tc>
        <w:tc>
          <w:tcPr>
            <w:tcW w:w="5925" w:type="dxa"/>
          </w:tcPr>
          <w:p w14:paraId="2F14075F">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*8、投标人必须在投标文件中提供书面承诺函：如果</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，采购单位有权按照投标人投标文件中所提供的市级以上国家质量检测机构出具的产品质量检验报告</w:t>
            </w:r>
            <w:r>
              <w:rPr>
                <w:rFonts w:hint="eastAsia" w:ascii="宋体" w:hAnsi="宋体" w:cs="宋体"/>
                <w:b/>
                <w:color w:val="auto"/>
                <w:sz w:val="24"/>
                <w:szCs w:val="24"/>
                <w:highlight w:val="none"/>
                <w:lang w:eastAsia="zh-CN"/>
              </w:rPr>
              <w:t>（扫描件）</w:t>
            </w:r>
            <w:r>
              <w:rPr>
                <w:rFonts w:hint="eastAsia" w:ascii="宋体" w:hAnsi="宋体" w:cs="宋体"/>
                <w:b/>
                <w:color w:val="auto"/>
                <w:sz w:val="24"/>
                <w:szCs w:val="24"/>
                <w:highlight w:val="none"/>
              </w:rPr>
              <w:t>的内容来作为产品入库的验收标准，如果无法达到投标文件中的检验报告</w:t>
            </w:r>
            <w:r>
              <w:rPr>
                <w:rFonts w:hint="eastAsia" w:ascii="宋体" w:hAnsi="宋体" w:cs="宋体"/>
                <w:b/>
                <w:color w:val="auto"/>
                <w:sz w:val="24"/>
                <w:szCs w:val="24"/>
                <w:highlight w:val="none"/>
                <w:lang w:eastAsia="zh-CN"/>
              </w:rPr>
              <w:t>（扫描件）</w:t>
            </w:r>
            <w:r>
              <w:rPr>
                <w:rFonts w:hint="eastAsia" w:ascii="宋体" w:hAnsi="宋体" w:cs="宋体"/>
                <w:b/>
                <w:color w:val="auto"/>
                <w:sz w:val="24"/>
                <w:szCs w:val="24"/>
                <w:highlight w:val="none"/>
              </w:rPr>
              <w:t>中的数值，采购单位有权要求退货，同时有权单方面终止合同，并没收投标人的履约保证金。</w:t>
            </w:r>
          </w:p>
        </w:tc>
      </w:tr>
      <w:tr w14:paraId="7CE0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35FFF38D">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62</w:t>
            </w:r>
          </w:p>
        </w:tc>
        <w:tc>
          <w:tcPr>
            <w:tcW w:w="696" w:type="dxa"/>
          </w:tcPr>
          <w:p w14:paraId="4EAD1B43">
            <w:pPr>
              <w:spacing w:line="360" w:lineRule="auto"/>
              <w:jc w:val="center"/>
              <w:rPr>
                <w:rFonts w:hint="eastAsia" w:ascii="宋体" w:hAnsi="宋体" w:cs="宋体"/>
                <w:color w:val="auto"/>
                <w:sz w:val="24"/>
                <w:szCs w:val="24"/>
                <w:highlight w:val="none"/>
              </w:rPr>
            </w:pPr>
          </w:p>
        </w:tc>
        <w:tc>
          <w:tcPr>
            <w:tcW w:w="1422" w:type="dxa"/>
          </w:tcPr>
          <w:p w14:paraId="52294E57">
            <w:pPr>
              <w:spacing w:line="360" w:lineRule="auto"/>
              <w:jc w:val="center"/>
              <w:rPr>
                <w:rFonts w:hint="eastAsia" w:ascii="宋体" w:hAnsi="宋体" w:cs="宋体"/>
                <w:color w:val="auto"/>
                <w:sz w:val="24"/>
                <w:szCs w:val="24"/>
                <w:highlight w:val="none"/>
              </w:rPr>
            </w:pPr>
          </w:p>
        </w:tc>
        <w:tc>
          <w:tcPr>
            <w:tcW w:w="5925" w:type="dxa"/>
          </w:tcPr>
          <w:p w14:paraId="53486175">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*9、投标人必须在投标文件中提供书面承诺函：如获</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将配合采购单位及产品检验检测机构进行投标产品的检验检测，产品检验检测产生的一切相关费用由中标供应商承担。</w:t>
            </w:r>
          </w:p>
        </w:tc>
      </w:tr>
      <w:tr w14:paraId="2B7C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1464122F">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63</w:t>
            </w:r>
          </w:p>
        </w:tc>
        <w:tc>
          <w:tcPr>
            <w:tcW w:w="696" w:type="dxa"/>
          </w:tcPr>
          <w:p w14:paraId="094113CC">
            <w:pPr>
              <w:spacing w:line="360" w:lineRule="auto"/>
              <w:jc w:val="center"/>
              <w:rPr>
                <w:rFonts w:hint="eastAsia" w:ascii="宋体" w:hAnsi="宋体" w:cs="宋体"/>
                <w:color w:val="auto"/>
                <w:sz w:val="24"/>
                <w:szCs w:val="24"/>
                <w:highlight w:val="none"/>
              </w:rPr>
            </w:pPr>
          </w:p>
        </w:tc>
        <w:tc>
          <w:tcPr>
            <w:tcW w:w="1422" w:type="dxa"/>
          </w:tcPr>
          <w:p w14:paraId="78EA0B8F">
            <w:pPr>
              <w:spacing w:line="360" w:lineRule="auto"/>
              <w:jc w:val="center"/>
              <w:rPr>
                <w:rFonts w:hint="eastAsia" w:ascii="宋体" w:hAnsi="宋体" w:cs="宋体"/>
                <w:color w:val="auto"/>
                <w:sz w:val="24"/>
                <w:szCs w:val="24"/>
                <w:highlight w:val="none"/>
              </w:rPr>
            </w:pPr>
          </w:p>
        </w:tc>
        <w:tc>
          <w:tcPr>
            <w:tcW w:w="5925" w:type="dxa"/>
          </w:tcPr>
          <w:p w14:paraId="2A8EB4DD">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10、投标人必须在投标文件中提供书面承诺函：中标供应商不按采购合同履行的，采购单位有权与排位在中标供应商之后第一位的中标候选供应商签订采购合同，以此类推。并且，作为中标供应商之后第一位的中标候选供应商同意与采购单位在</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结果公示期结束后直接按其报价签订采购合同。</w:t>
            </w:r>
          </w:p>
        </w:tc>
      </w:tr>
      <w:tr w14:paraId="008C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5E96CBF7">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64</w:t>
            </w:r>
          </w:p>
        </w:tc>
        <w:tc>
          <w:tcPr>
            <w:tcW w:w="696" w:type="dxa"/>
          </w:tcPr>
          <w:p w14:paraId="3283F09C">
            <w:pPr>
              <w:spacing w:line="360" w:lineRule="auto"/>
              <w:jc w:val="center"/>
              <w:rPr>
                <w:rFonts w:hint="eastAsia" w:ascii="宋体" w:hAnsi="宋体" w:cs="宋体"/>
                <w:color w:val="auto"/>
                <w:sz w:val="24"/>
                <w:szCs w:val="24"/>
                <w:highlight w:val="none"/>
              </w:rPr>
            </w:pPr>
          </w:p>
        </w:tc>
        <w:tc>
          <w:tcPr>
            <w:tcW w:w="1422" w:type="dxa"/>
          </w:tcPr>
          <w:p w14:paraId="3AFD89D4">
            <w:pPr>
              <w:spacing w:line="360" w:lineRule="auto"/>
              <w:jc w:val="center"/>
              <w:rPr>
                <w:rFonts w:hint="eastAsia" w:ascii="宋体" w:hAnsi="宋体" w:cs="宋体"/>
                <w:color w:val="auto"/>
                <w:sz w:val="24"/>
                <w:szCs w:val="24"/>
                <w:highlight w:val="none"/>
              </w:rPr>
            </w:pPr>
          </w:p>
        </w:tc>
        <w:tc>
          <w:tcPr>
            <w:tcW w:w="5925" w:type="dxa"/>
          </w:tcPr>
          <w:p w14:paraId="3D5156B8">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11、投标人必须在投标文件中提供书面承诺函：如果中标，在履行合同期间，如果出现以下任一情况，采购单位有权单方解除合同，中标供应商应支付相当于履约保证金金额的违约金。同时，对中标供应商下述情况在厦门市政府采购网、厦门招投标网进行公示，并在三年内取消中标供应商进入大宗政府招标采购项目的投标报价：</w:t>
            </w:r>
          </w:p>
          <w:p w14:paraId="3B873754">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①违反法律法规、行业规范要求被有关部门查处的；</w:t>
            </w:r>
          </w:p>
          <w:p w14:paraId="5FC15FFD">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②提供假冒伪劣产品的；</w:t>
            </w:r>
          </w:p>
          <w:p w14:paraId="4D9D40A3">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③通过给回扣或变相给回扣的方式招揽业务的；</w:t>
            </w:r>
          </w:p>
          <w:p w14:paraId="2204D72D">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④因产品质量或服务问题被有效投诉达三次以上的；</w:t>
            </w:r>
          </w:p>
          <w:p w14:paraId="535E3F57">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⑤向有关部门、采购单位、最终使用方提供虚假信息或资料等情况的；</w:t>
            </w:r>
          </w:p>
          <w:p w14:paraId="11A8460D">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⑥出现重大客户投诉事件（如政府采购管理部门督办事件、新闻媒体公开报道、采购业主书面发函投诉以及其他对采购单位产生严重负面影响的事件）；</w:t>
            </w:r>
          </w:p>
          <w:p w14:paraId="771D7103">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⑦报修率超过3%。报修率=保修期内产品质量报修有效箱次/已销售箱数*100%（已销售箱数超过100箱之后开始计算报修率）。</w:t>
            </w:r>
          </w:p>
        </w:tc>
      </w:tr>
      <w:tr w14:paraId="2AB7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6AA296E">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65</w:t>
            </w:r>
          </w:p>
        </w:tc>
        <w:tc>
          <w:tcPr>
            <w:tcW w:w="696" w:type="dxa"/>
          </w:tcPr>
          <w:p w14:paraId="524714D1">
            <w:pPr>
              <w:spacing w:line="360" w:lineRule="auto"/>
              <w:jc w:val="center"/>
              <w:rPr>
                <w:rFonts w:hint="eastAsia" w:ascii="宋体" w:hAnsi="宋体" w:cs="宋体"/>
                <w:color w:val="auto"/>
                <w:sz w:val="24"/>
                <w:szCs w:val="24"/>
                <w:highlight w:val="none"/>
              </w:rPr>
            </w:pPr>
          </w:p>
        </w:tc>
        <w:tc>
          <w:tcPr>
            <w:tcW w:w="1422" w:type="dxa"/>
          </w:tcPr>
          <w:p w14:paraId="3D4F8C99">
            <w:pPr>
              <w:spacing w:line="360" w:lineRule="auto"/>
              <w:jc w:val="center"/>
              <w:rPr>
                <w:rFonts w:hint="eastAsia" w:ascii="宋体" w:hAnsi="宋体" w:cs="宋体"/>
                <w:color w:val="auto"/>
                <w:sz w:val="24"/>
                <w:szCs w:val="24"/>
                <w:highlight w:val="none"/>
              </w:rPr>
            </w:pPr>
          </w:p>
        </w:tc>
        <w:tc>
          <w:tcPr>
            <w:tcW w:w="5925" w:type="dxa"/>
          </w:tcPr>
          <w:p w14:paraId="24A819C8">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*12、投标人必须在投标文件中提供书面承诺函：</w:t>
            </w:r>
            <w:r>
              <w:rPr>
                <w:rFonts w:hint="eastAsia" w:ascii="宋体" w:hAnsi="宋体" w:cs="宋体"/>
                <w:b/>
                <w:color w:val="auto"/>
                <w:sz w:val="24"/>
                <w:szCs w:val="24"/>
                <w:highlight w:val="none"/>
              </w:rPr>
              <w:t>同意在供货期间，遇合同型号价格下调，或遇纸浆期货的自然月度结算参考价格低于投标当月纸浆月度结算参考价格（xxxx元/吨）的10%，或供货价格未能达到比其它同类销售渠道、主流网站（京东、苏宁易购、国美、天猫）及政府采购网上超市（福建省、深圳市、浙江省、广东省、南京市）等的常规销售价格上的最低价至少低5%的，卖方应及时配合买方确认价格调整，且最终调整后的价格不得高于合同约定的价格（即投标价格）（以上纸浆期货月度结算参考价格参考上海期货交易所数据）</w:t>
            </w:r>
            <w:r>
              <w:rPr>
                <w:rFonts w:hint="eastAsia" w:ascii="宋体" w:hAnsi="宋体" w:cs="宋体"/>
                <w:b/>
                <w:color w:val="auto"/>
                <w:sz w:val="24"/>
                <w:szCs w:val="24"/>
                <w:highlight w:val="none"/>
              </w:rPr>
              <w:t>。</w:t>
            </w:r>
          </w:p>
        </w:tc>
      </w:tr>
      <w:tr w14:paraId="1EEF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52BF61D4">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66</w:t>
            </w:r>
          </w:p>
        </w:tc>
        <w:tc>
          <w:tcPr>
            <w:tcW w:w="696" w:type="dxa"/>
          </w:tcPr>
          <w:p w14:paraId="41D41680">
            <w:pPr>
              <w:spacing w:line="360" w:lineRule="auto"/>
              <w:jc w:val="center"/>
              <w:rPr>
                <w:rFonts w:hint="eastAsia" w:ascii="宋体" w:hAnsi="宋体" w:cs="宋体"/>
                <w:color w:val="auto"/>
                <w:sz w:val="24"/>
                <w:szCs w:val="24"/>
                <w:highlight w:val="none"/>
              </w:rPr>
            </w:pPr>
          </w:p>
        </w:tc>
        <w:tc>
          <w:tcPr>
            <w:tcW w:w="1422" w:type="dxa"/>
          </w:tcPr>
          <w:p w14:paraId="47EC55FA">
            <w:pPr>
              <w:spacing w:line="360" w:lineRule="auto"/>
              <w:jc w:val="center"/>
              <w:rPr>
                <w:rFonts w:hint="eastAsia" w:ascii="宋体" w:hAnsi="宋体" w:cs="宋体"/>
                <w:color w:val="auto"/>
                <w:sz w:val="24"/>
                <w:szCs w:val="24"/>
                <w:highlight w:val="none"/>
              </w:rPr>
            </w:pPr>
          </w:p>
        </w:tc>
        <w:tc>
          <w:tcPr>
            <w:tcW w:w="5925" w:type="dxa"/>
          </w:tcPr>
          <w:p w14:paraId="675FF2A9">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*13、投标人必须在投标文件中提供书面承诺函：若</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将无条件参与采购单位举办的壹年两次的政府大宗产品推介会，并且免费提供相应的中标产品作为样品展示，否则视为违约，投标人应按</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产品的中标单价向采购单位支付违约金，若投标人未向采购单位支付，则采购单位有权直接从履约保证金款项中直接给予扣除。</w:t>
            </w:r>
          </w:p>
        </w:tc>
      </w:tr>
      <w:tr w14:paraId="4460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5F86BE0C">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67</w:t>
            </w:r>
          </w:p>
        </w:tc>
        <w:tc>
          <w:tcPr>
            <w:tcW w:w="696" w:type="dxa"/>
          </w:tcPr>
          <w:p w14:paraId="72EB1686">
            <w:pPr>
              <w:spacing w:line="360" w:lineRule="auto"/>
              <w:jc w:val="center"/>
              <w:rPr>
                <w:rFonts w:hint="eastAsia" w:ascii="宋体" w:hAnsi="宋体" w:cs="宋体"/>
                <w:color w:val="auto"/>
                <w:sz w:val="24"/>
                <w:szCs w:val="24"/>
                <w:highlight w:val="none"/>
              </w:rPr>
            </w:pPr>
          </w:p>
        </w:tc>
        <w:tc>
          <w:tcPr>
            <w:tcW w:w="1422" w:type="dxa"/>
          </w:tcPr>
          <w:p w14:paraId="585470C7">
            <w:pPr>
              <w:spacing w:line="360" w:lineRule="auto"/>
              <w:jc w:val="center"/>
              <w:rPr>
                <w:rFonts w:hint="eastAsia" w:ascii="宋体" w:hAnsi="宋体" w:cs="宋体"/>
                <w:color w:val="auto"/>
                <w:sz w:val="24"/>
                <w:szCs w:val="24"/>
                <w:highlight w:val="none"/>
              </w:rPr>
            </w:pPr>
          </w:p>
        </w:tc>
        <w:tc>
          <w:tcPr>
            <w:tcW w:w="5925" w:type="dxa"/>
          </w:tcPr>
          <w:p w14:paraId="38E8B744">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14、投标人必须在投标文件中提供书面承诺函：如果中标，验收时（包括初验和最终验收），投标人必须派代表参加并确认验收结果，否则视为投标人对验收意见无异议。如该批次产品在最终验收时，出现开箱破损或者故障，无法进行最终验收的，投标人承诺无条件给予更换并保证最终验收的顺畅进行。若投标人不同意更换或者配合，采购单位有权直接于中标供应商的履约保证金中扣除该批次产品及安装的等额费用。该条款可能造成的成本费用包含在投标人的产品报价中。</w:t>
            </w:r>
          </w:p>
        </w:tc>
      </w:tr>
      <w:tr w14:paraId="50557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6BEDC68A">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68</w:t>
            </w:r>
          </w:p>
        </w:tc>
        <w:tc>
          <w:tcPr>
            <w:tcW w:w="696" w:type="dxa"/>
          </w:tcPr>
          <w:p w14:paraId="4513E08E">
            <w:pPr>
              <w:spacing w:line="360" w:lineRule="auto"/>
              <w:jc w:val="center"/>
              <w:rPr>
                <w:rFonts w:hint="eastAsia" w:ascii="宋体" w:hAnsi="宋体" w:cs="宋体"/>
                <w:color w:val="auto"/>
                <w:sz w:val="24"/>
                <w:szCs w:val="24"/>
                <w:highlight w:val="none"/>
              </w:rPr>
            </w:pPr>
          </w:p>
        </w:tc>
        <w:tc>
          <w:tcPr>
            <w:tcW w:w="1422" w:type="dxa"/>
          </w:tcPr>
          <w:p w14:paraId="6E139312">
            <w:pPr>
              <w:spacing w:line="360" w:lineRule="auto"/>
              <w:jc w:val="center"/>
              <w:rPr>
                <w:rFonts w:hint="eastAsia" w:ascii="宋体" w:hAnsi="宋体" w:cs="宋体"/>
                <w:color w:val="auto"/>
                <w:sz w:val="24"/>
                <w:szCs w:val="24"/>
                <w:highlight w:val="none"/>
              </w:rPr>
            </w:pPr>
          </w:p>
        </w:tc>
        <w:tc>
          <w:tcPr>
            <w:tcW w:w="5925" w:type="dxa"/>
          </w:tcPr>
          <w:p w14:paraId="235051EA">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15、投标人必须在投标文件中提供书面承诺函：如果中标，因投标人产品给采购单位造成的客诉，若投标人在接到采购单位通知后3个日历日内无法解决客诉，采购单位有权自行解决客诉，并直接于投标人的履约保证金中扣除解决客诉所产生的费用。该条款可能造成的成本费用包含在投标人的产品报价中。</w:t>
            </w:r>
          </w:p>
        </w:tc>
      </w:tr>
      <w:tr w14:paraId="5B5A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A5F7952">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69</w:t>
            </w:r>
          </w:p>
        </w:tc>
        <w:tc>
          <w:tcPr>
            <w:tcW w:w="696" w:type="dxa"/>
          </w:tcPr>
          <w:p w14:paraId="60BBBDDF">
            <w:pPr>
              <w:spacing w:line="360" w:lineRule="auto"/>
              <w:jc w:val="center"/>
              <w:rPr>
                <w:rFonts w:hint="eastAsia" w:ascii="宋体" w:hAnsi="宋体" w:cs="宋体"/>
                <w:color w:val="auto"/>
                <w:sz w:val="24"/>
                <w:szCs w:val="24"/>
                <w:highlight w:val="none"/>
              </w:rPr>
            </w:pPr>
          </w:p>
        </w:tc>
        <w:tc>
          <w:tcPr>
            <w:tcW w:w="1422" w:type="dxa"/>
          </w:tcPr>
          <w:p w14:paraId="09CEBDC4">
            <w:pPr>
              <w:spacing w:line="360" w:lineRule="auto"/>
              <w:jc w:val="center"/>
              <w:rPr>
                <w:rFonts w:hint="eastAsia" w:ascii="宋体" w:hAnsi="宋体" w:cs="宋体"/>
                <w:color w:val="auto"/>
                <w:sz w:val="24"/>
                <w:szCs w:val="24"/>
                <w:highlight w:val="none"/>
              </w:rPr>
            </w:pPr>
          </w:p>
        </w:tc>
        <w:tc>
          <w:tcPr>
            <w:tcW w:w="5925" w:type="dxa"/>
          </w:tcPr>
          <w:p w14:paraId="778CF8DB">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*16、投标人必须在投标文件中提供书面承诺函：</w:t>
            </w:r>
            <w:r>
              <w:rPr>
                <w:rFonts w:hint="eastAsia" w:ascii="宋体" w:hAnsi="宋体" w:cs="宋体"/>
                <w:b/>
                <w:color w:val="auto"/>
                <w:kern w:val="2"/>
                <w:sz w:val="24"/>
                <w:szCs w:val="24"/>
                <w:highlight w:val="none"/>
              </w:rPr>
              <w:t>若中标，将确保任何产品型号在供货期内能够满足采购单位的需求；若在供货期内投标人有任何产品型号或配件升级变更或者停产，应至少提前一个月书面通知采购单位相关信息（包括其升级产品型号、部件及详细配置方案），经采购单位书面同意后方可按升级后的产品（或配件）供货，价格按中标单价执行，交货时间按原投标承诺的时间执行，同时，在采购单位同意之前，</w:t>
            </w:r>
            <w:r>
              <w:rPr>
                <w:rFonts w:hint="eastAsia" w:ascii="宋体" w:hAnsi="宋体" w:cs="宋体"/>
                <w:b/>
                <w:color w:val="auto"/>
                <w:sz w:val="24"/>
                <w:szCs w:val="24"/>
                <w:highlight w:val="none"/>
              </w:rPr>
              <w:t>投标人</w:t>
            </w:r>
            <w:r>
              <w:rPr>
                <w:rFonts w:hint="eastAsia" w:ascii="宋体" w:hAnsi="宋体" w:cs="宋体"/>
                <w:b/>
                <w:color w:val="auto"/>
                <w:kern w:val="2"/>
                <w:sz w:val="24"/>
                <w:szCs w:val="24"/>
                <w:highlight w:val="none"/>
              </w:rPr>
              <w:t>仍应按原承诺《定货单》的要求供货。否则，按逾期交货处理。若在合同期内投标人有任何产品型号或配件停产且无法提供符合采购单位要求的升级型号或配件则视为严重违约，投标人应按每款型号20000元向采购单位缴纳违约金。采购单位有权单方面解除中标合同，直接没收履约保证金并且有权与</w:t>
            </w:r>
            <w:r>
              <w:rPr>
                <w:rFonts w:hint="eastAsia" w:ascii="宋体" w:hAnsi="宋体" w:cs="宋体"/>
                <w:b/>
                <w:color w:val="auto"/>
                <w:sz w:val="24"/>
                <w:szCs w:val="24"/>
                <w:highlight w:val="none"/>
              </w:rPr>
              <w:t>投标人</w:t>
            </w:r>
            <w:r>
              <w:rPr>
                <w:rFonts w:hint="eastAsia" w:ascii="宋体" w:hAnsi="宋体" w:cs="宋体"/>
                <w:b/>
                <w:color w:val="auto"/>
                <w:kern w:val="2"/>
                <w:sz w:val="24"/>
                <w:szCs w:val="24"/>
                <w:highlight w:val="none"/>
              </w:rPr>
              <w:t>之后第一位的中标候选供应商签订合同。</w:t>
            </w:r>
          </w:p>
        </w:tc>
      </w:tr>
      <w:tr w14:paraId="6BCB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E7D46B7">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70</w:t>
            </w:r>
          </w:p>
        </w:tc>
        <w:tc>
          <w:tcPr>
            <w:tcW w:w="696" w:type="dxa"/>
          </w:tcPr>
          <w:p w14:paraId="5EF287F9">
            <w:pPr>
              <w:spacing w:line="360" w:lineRule="auto"/>
              <w:jc w:val="center"/>
              <w:rPr>
                <w:rFonts w:hint="eastAsia" w:ascii="宋体" w:hAnsi="宋体" w:cs="宋体"/>
                <w:color w:val="auto"/>
                <w:sz w:val="24"/>
                <w:szCs w:val="24"/>
                <w:highlight w:val="none"/>
              </w:rPr>
            </w:pPr>
          </w:p>
        </w:tc>
        <w:tc>
          <w:tcPr>
            <w:tcW w:w="1422" w:type="dxa"/>
          </w:tcPr>
          <w:p w14:paraId="1411D943">
            <w:pPr>
              <w:spacing w:line="360" w:lineRule="auto"/>
              <w:jc w:val="center"/>
              <w:rPr>
                <w:rFonts w:hint="eastAsia" w:ascii="宋体" w:hAnsi="宋体" w:cs="宋体"/>
                <w:color w:val="auto"/>
                <w:sz w:val="24"/>
                <w:szCs w:val="24"/>
                <w:highlight w:val="none"/>
              </w:rPr>
            </w:pPr>
          </w:p>
        </w:tc>
        <w:tc>
          <w:tcPr>
            <w:tcW w:w="5925" w:type="dxa"/>
          </w:tcPr>
          <w:p w14:paraId="68580EF1">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17、投标人必须在投标文件中提供书面承诺函：承诺在7月-9月，11月-12月几个教育系统用户领用高峰期，将提前做好库存，在高峰期出现供货不及时的情况将双倍考核；情节严重（订单供货及时率低于90%，客户原因除外）直接扣除保证金。（注：订单供货及时率=按期供货订单数/总订单数*100%）</w:t>
            </w:r>
          </w:p>
        </w:tc>
      </w:tr>
      <w:tr w14:paraId="6897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tcPr>
          <w:p w14:paraId="4DEDC85D">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71</w:t>
            </w:r>
          </w:p>
        </w:tc>
        <w:tc>
          <w:tcPr>
            <w:tcW w:w="696" w:type="dxa"/>
          </w:tcPr>
          <w:p w14:paraId="33BBB1D1">
            <w:pPr>
              <w:spacing w:line="360" w:lineRule="auto"/>
              <w:jc w:val="center"/>
              <w:rPr>
                <w:rFonts w:hint="eastAsia" w:ascii="宋体" w:hAnsi="宋体" w:cs="宋体"/>
                <w:color w:val="auto"/>
                <w:sz w:val="24"/>
                <w:szCs w:val="24"/>
                <w:highlight w:val="none"/>
              </w:rPr>
            </w:pPr>
          </w:p>
        </w:tc>
        <w:tc>
          <w:tcPr>
            <w:tcW w:w="1422" w:type="dxa"/>
          </w:tcPr>
          <w:p w14:paraId="2E08DCCA">
            <w:pPr>
              <w:spacing w:line="360" w:lineRule="auto"/>
              <w:jc w:val="center"/>
              <w:rPr>
                <w:rFonts w:hint="eastAsia" w:ascii="宋体" w:hAnsi="宋体" w:cs="宋体"/>
                <w:color w:val="auto"/>
                <w:sz w:val="24"/>
                <w:szCs w:val="24"/>
                <w:highlight w:val="none"/>
              </w:rPr>
            </w:pPr>
          </w:p>
        </w:tc>
        <w:tc>
          <w:tcPr>
            <w:tcW w:w="5925" w:type="dxa"/>
          </w:tcPr>
          <w:p w14:paraId="6B96CAC5">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18、投标人必须在投标文件中提供书面承诺函：承诺同意本项目采购的产品按照销售对象及销售区域的不同而分别与采购单位签订合同，即签订一份适用于厦门市政府机关事业单位、一份适用于福建省内其他终端用户采购合同。两份合同的总数量和总金额为本次招标采购的总数量和总金额。</w:t>
            </w:r>
          </w:p>
        </w:tc>
      </w:tr>
    </w:tbl>
    <w:p w14:paraId="44900363">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备注：由于编排顺序混乱而导致投标文件被误读或漏读，该投标人的投标可能被视为无效投标或承担不利的评标结果。</w:t>
      </w:r>
    </w:p>
    <w:p w14:paraId="23D59E0A">
      <w:pPr>
        <w:spacing w:line="360" w:lineRule="auto"/>
        <w:rPr>
          <w:rFonts w:hint="eastAsia" w:ascii="宋体" w:hAnsi="宋体" w:cs="宋体"/>
          <w:bCs/>
          <w:color w:val="auto"/>
          <w:sz w:val="24"/>
          <w:szCs w:val="24"/>
          <w:highlight w:val="none"/>
        </w:rPr>
      </w:pPr>
    </w:p>
    <w:p w14:paraId="031A7EB3">
      <w:pPr>
        <w:spacing w:line="360" w:lineRule="auto"/>
        <w:rPr>
          <w:rFonts w:hint="eastAsia" w:ascii="宋体" w:hAnsi="宋体" w:cs="宋体"/>
          <w:bCs/>
          <w:color w:val="auto"/>
          <w:sz w:val="24"/>
          <w:szCs w:val="24"/>
          <w:highlight w:val="none"/>
        </w:rPr>
      </w:pPr>
    </w:p>
    <w:p w14:paraId="08E69309">
      <w:pPr>
        <w:spacing w:line="360" w:lineRule="auto"/>
        <w:ind w:firstLine="640" w:firstLineChars="200"/>
        <w:rPr>
          <w:rFonts w:hint="eastAsia" w:ascii="宋体" w:hAnsi="宋体" w:cs="宋体"/>
          <w:color w:val="auto"/>
          <w:sz w:val="32"/>
          <w:szCs w:val="32"/>
          <w:highlight w:val="none"/>
        </w:rPr>
        <w:sectPr>
          <w:pgSz w:w="11907" w:h="16840"/>
          <w:pgMar w:top="1440" w:right="1752" w:bottom="1290" w:left="1752" w:header="851" w:footer="992" w:gutter="0"/>
          <w:pgNumType w:start="1"/>
          <w:cols w:space="720" w:num="1"/>
          <w:docGrid w:linePitch="323" w:charSpace="-2"/>
        </w:sectPr>
      </w:pPr>
    </w:p>
    <w:p w14:paraId="543A66F5">
      <w:pPr>
        <w:spacing w:line="360" w:lineRule="auto"/>
        <w:ind w:firstLine="643" w:firstLineChars="200"/>
        <w:rPr>
          <w:rFonts w:hint="eastAsia" w:ascii="宋体" w:hAnsi="宋体" w:cs="宋体"/>
          <w:b/>
          <w:bCs/>
          <w:color w:val="auto"/>
          <w:sz w:val="32"/>
          <w:szCs w:val="32"/>
          <w:highlight w:val="none"/>
          <w:u w:val="single"/>
        </w:rPr>
      </w:pPr>
      <w:r>
        <w:rPr>
          <w:rFonts w:hint="eastAsia" w:ascii="宋体" w:hAnsi="宋体" w:cs="宋体"/>
          <w:b/>
          <w:bCs/>
          <w:color w:val="auto"/>
          <w:sz w:val="32"/>
          <w:szCs w:val="32"/>
          <w:highlight w:val="none"/>
        </w:rPr>
        <w:t>投标人须知前附表3：评标方法、评标标准、定标原则</w:t>
      </w:r>
    </w:p>
    <w:tbl>
      <w:tblPr>
        <w:tblStyle w:val="1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956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0275BB68">
            <w:pPr>
              <w:pStyle w:val="3"/>
              <w:numPr>
                <w:ilvl w:val="0"/>
                <w:numId w:val="1"/>
              </w:numPr>
              <w:snapToGri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评标方法：</w:t>
            </w:r>
          </w:p>
          <w:p w14:paraId="47BE27E3">
            <w:pPr>
              <w:pStyle w:val="3"/>
              <w:snapToGrid w:val="0"/>
              <w:spacing w:line="360" w:lineRule="auto"/>
              <w:ind w:left="480" w:firstLine="0"/>
              <w:rPr>
                <w:rFonts w:hint="eastAsia"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 xml:space="preserve">综合评分法  □ 最低评标价法  </w:t>
            </w:r>
          </w:p>
        </w:tc>
      </w:tr>
      <w:tr w14:paraId="766E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2EE250E8">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二、评标标准：</w:t>
            </w:r>
          </w:p>
          <w:p w14:paraId="7A795C57">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（一）具体的评标标准、权重。</w:t>
            </w:r>
          </w:p>
          <w:p w14:paraId="4B42CF0A">
            <w:pPr>
              <w:pStyle w:val="3"/>
              <w:snapToGrid w:val="0"/>
              <w:spacing w:line="360" w:lineRule="auto"/>
              <w:ind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详见附件</w:t>
            </w:r>
          </w:p>
          <w:p w14:paraId="27969F82">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（二）推荐中标候选供应商名单。</w:t>
            </w:r>
          </w:p>
          <w:p w14:paraId="280A2D6B">
            <w:pPr>
              <w:pStyle w:val="3"/>
              <w:snapToGrid w:val="0"/>
              <w:spacing w:line="360" w:lineRule="auto"/>
              <w:ind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rPr>
              <w:t>1、中标候选供应商数量：</w:t>
            </w:r>
            <w:r>
              <w:rPr>
                <w:rFonts w:hint="eastAsia" w:ascii="宋体" w:hAnsi="宋体" w:cs="宋体"/>
                <w:color w:val="auto"/>
                <w:sz w:val="24"/>
                <w:szCs w:val="24"/>
                <w:highlight w:val="none"/>
                <w:u w:val="single"/>
              </w:rPr>
              <w:t>3</w:t>
            </w:r>
            <w:r>
              <w:rPr>
                <w:rFonts w:hint="eastAsia" w:ascii="宋体" w:hAnsi="宋体" w:cs="宋体"/>
                <w:color w:val="auto"/>
                <w:sz w:val="24"/>
                <w:szCs w:val="24"/>
                <w:highlight w:val="none"/>
              </w:rPr>
              <w:t>个。</w:t>
            </w:r>
          </w:p>
          <w:p w14:paraId="286D8E06">
            <w:pPr>
              <w:pStyle w:val="3"/>
              <w:snapToGrid w:val="0"/>
              <w:spacing w:line="360" w:lineRule="auto"/>
              <w:ind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72F935C0">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□采用最低评标价法的，按投标报价由低到高顺序排列。投标报价相同的，按技术指标优劣顺序排列。</w:t>
            </w:r>
          </w:p>
          <w:p w14:paraId="733BA556">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105AC1F9">
            <w:pPr>
              <w:pStyle w:val="3"/>
              <w:snapToGrid w:val="0"/>
              <w:spacing w:line="360" w:lineRule="auto"/>
              <w:ind w:firstLineChars="175"/>
              <w:rPr>
                <w:rFonts w:hint="eastAsia" w:ascii="宋体" w:hAnsi="宋体" w:cs="宋体"/>
                <w:color w:val="auto"/>
                <w:sz w:val="24"/>
                <w:szCs w:val="24"/>
                <w:highlight w:val="none"/>
              </w:rPr>
            </w:pPr>
            <w:r>
              <w:rPr>
                <w:rFonts w:hint="eastAsia" w:ascii="宋体" w:hAnsi="宋体" w:cs="宋体"/>
                <w:color w:val="auto"/>
                <w:sz w:val="24"/>
                <w:szCs w:val="24"/>
                <w:highlight w:val="none"/>
              </w:rPr>
              <w:t>3、综合评分法特别无效投标认定</w:t>
            </w:r>
          </w:p>
          <w:p w14:paraId="49523CED">
            <w:pPr>
              <w:pStyle w:val="3"/>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55B853D7">
            <w:pPr>
              <w:pStyle w:val="7"/>
              <w:spacing w:after="0" w:line="360" w:lineRule="auto"/>
              <w:ind w:left="0"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rPr>
              <w:t>4、关于同一品牌产品投标的相关规定</w:t>
            </w:r>
          </w:p>
          <w:p w14:paraId="28405F62">
            <w:pPr>
              <w:pStyle w:val="7"/>
              <w:spacing w:after="0" w:line="360" w:lineRule="auto"/>
              <w:ind w:left="0"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rPr>
              <w:t>如果有多家投标人以同一品牌的产品参加投标，只能视为一家。</w:t>
            </w:r>
          </w:p>
          <w:p w14:paraId="20E5B8CA">
            <w:pPr>
              <w:spacing w:line="360" w:lineRule="auto"/>
              <w:ind w:firstLine="360" w:firstLineChars="150"/>
              <w:rPr>
                <w:rFonts w:hint="eastAsia" w:ascii="宋体" w:hAnsi="宋体" w:cs="宋体"/>
                <w:color w:val="auto"/>
                <w:sz w:val="24"/>
                <w:szCs w:val="24"/>
                <w:highlight w:val="none"/>
              </w:rPr>
            </w:pPr>
            <w:r>
              <w:rPr>
                <w:rFonts w:hint="eastAsia" w:ascii="宋体" w:hAnsi="宋体" w:cs="宋体"/>
                <w:color w:val="auto"/>
                <w:sz w:val="24"/>
                <w:szCs w:val="24"/>
                <w:highlight w:val="none"/>
              </w:rPr>
              <w:t>采用</w:t>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HYPERLINK "http://lilun.caigou2003.com/recijiedu/2365668.html" \t "_blank"</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最低评标价法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的采购项目，提供相同品牌产品的不同投标人参加同一合同项下投标的，以其中通过资格审查、符合性审查且报价最低的参加评标；报价相同的，由采购单位委托</w:t>
            </w:r>
            <w:r>
              <w:rPr>
                <w:color w:val="auto"/>
                <w:highlight w:val="none"/>
              </w:rPr>
              <w:fldChar w:fldCharType="begin"/>
            </w:r>
            <w:r>
              <w:rPr>
                <w:color w:val="auto"/>
                <w:highlight w:val="none"/>
              </w:rPr>
              <w:instrText xml:space="preserve"> HYPERLINK "http://lilun.caigou2003.com/recijiedu/2539165.html" \t "_blank" </w:instrText>
            </w:r>
            <w:r>
              <w:rPr>
                <w:color w:val="auto"/>
                <w:highlight w:val="none"/>
              </w:rPr>
              <w:fldChar w:fldCharType="separate"/>
            </w:r>
            <w:r>
              <w:rPr>
                <w:rFonts w:hint="eastAsia" w:ascii="宋体" w:hAnsi="宋体" w:cs="宋体"/>
                <w:color w:val="auto"/>
                <w:sz w:val="24"/>
                <w:szCs w:val="24"/>
                <w:highlight w:val="none"/>
              </w:rPr>
              <w:t>评标委员会</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按照招标文件规定的方式确定一个参加评标的投标人，招标文件未规定的采取随机抽取方式确定，其他投标无效。</w:t>
            </w:r>
          </w:p>
          <w:p w14:paraId="516A985B">
            <w:pPr>
              <w:spacing w:line="360" w:lineRule="auto"/>
              <w:ind w:firstLine="324"/>
              <w:rPr>
                <w:rFonts w:hint="eastAsia" w:ascii="宋体" w:hAnsi="宋体" w:cs="宋体"/>
                <w:color w:val="auto"/>
                <w:sz w:val="24"/>
                <w:szCs w:val="24"/>
                <w:highlight w:val="none"/>
              </w:rPr>
            </w:pPr>
            <w:r>
              <w:rPr>
                <w:rFonts w:hint="eastAsia" w:ascii="宋体" w:hAnsi="宋体" w:cs="宋体"/>
                <w:color w:val="auto"/>
                <w:sz w:val="24"/>
                <w:szCs w:val="24"/>
                <w:highlight w:val="none"/>
              </w:rPr>
              <w:t>使用</w:t>
            </w:r>
            <w:r>
              <w:rPr>
                <w:color w:val="auto"/>
                <w:highlight w:val="none"/>
              </w:rPr>
              <w:fldChar w:fldCharType="begin"/>
            </w:r>
            <w:r>
              <w:rPr>
                <w:color w:val="auto"/>
                <w:highlight w:val="none"/>
              </w:rPr>
              <w:instrText xml:space="preserve"> HYPERLINK "http://lilun.caigou2003.com/recijiedu/2365667.html" \t "_blank" </w:instrText>
            </w:r>
            <w:r>
              <w:rPr>
                <w:color w:val="auto"/>
                <w:highlight w:val="none"/>
              </w:rPr>
              <w:fldChar w:fldCharType="separate"/>
            </w:r>
            <w:r>
              <w:rPr>
                <w:rFonts w:hint="eastAsia" w:ascii="宋体" w:hAnsi="宋体" w:cs="宋体"/>
                <w:color w:val="auto"/>
                <w:sz w:val="24"/>
                <w:szCs w:val="24"/>
                <w:highlight w:val="none"/>
              </w:rPr>
              <w:t>综合评分法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采购单位委托评标委员会按照招标文件规定的方式确定一个投标人获得中标供应商推荐资格，招标文件未规定的采取随机抽取方式确定，其他同品牌投标人不作为中标候选人。</w:t>
            </w:r>
          </w:p>
          <w:p w14:paraId="4AFA2F6A">
            <w:pPr>
              <w:pStyle w:val="3"/>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非单一产品采购项目，采购单位应当根据采购项目技术构成、产品价格比重等合理确定核心产品，并在招标文件中载明。多家投标人提供的核心产品品牌相同的，按前两款规定处理。</w:t>
            </w:r>
          </w:p>
        </w:tc>
      </w:tr>
      <w:tr w14:paraId="0A8A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2A4F02D3">
            <w:pPr>
              <w:pStyle w:val="3"/>
              <w:snapToGrid w:val="0"/>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三、定标原则（确定中标供应商数量：</w:t>
            </w:r>
            <w:r>
              <w:rPr>
                <w:rFonts w:hint="eastAsia" w:ascii="宋体" w:hAnsi="宋体" w:cs="宋体"/>
                <w:color w:val="auto"/>
                <w:sz w:val="24"/>
                <w:szCs w:val="24"/>
                <w:highlight w:val="none"/>
                <w:u w:val="single"/>
              </w:rPr>
              <w:t xml:space="preserve"> 1 </w:t>
            </w:r>
            <w:r>
              <w:rPr>
                <w:rFonts w:hint="eastAsia" w:ascii="宋体" w:hAnsi="宋体" w:cs="宋体"/>
                <w:color w:val="auto"/>
                <w:sz w:val="24"/>
                <w:szCs w:val="24"/>
                <w:highlight w:val="none"/>
              </w:rPr>
              <w:t>个）：</w:t>
            </w:r>
          </w:p>
          <w:p w14:paraId="3B185804">
            <w:pPr>
              <w:pStyle w:val="3"/>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□采购单位委托招标代理机构招标，在收到评标报告后五个工作日内，按照评标报告中推荐的中标候选供应商顺序确定中标供应商。</w:t>
            </w:r>
          </w:p>
          <w:p w14:paraId="59438E93">
            <w:pPr>
              <w:pStyle w:val="3"/>
              <w:snapToGrid w:val="0"/>
              <w:spacing w:line="360" w:lineRule="auto"/>
              <w:ind w:firstLine="482" w:firstLineChars="200"/>
              <w:rPr>
                <w:rFonts w:hint="eastAsia"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采购单位委托招标代理机构招标，授权评标委员会直接确定中标供应商。</w:t>
            </w:r>
          </w:p>
          <w:p w14:paraId="01C4F672">
            <w:pPr>
              <w:pStyle w:val="3"/>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采购单位自行组织招标，在评标结束后五个工作日内确定中标供应商。</w:t>
            </w:r>
          </w:p>
        </w:tc>
      </w:tr>
    </w:tbl>
    <w:p w14:paraId="376DEB3D">
      <w:pPr>
        <w:pStyle w:val="3"/>
        <w:snapToGrid w:val="0"/>
        <w:spacing w:line="360" w:lineRule="auto"/>
        <w:ind w:firstLine="0"/>
        <w:rPr>
          <w:rFonts w:hint="eastAsia" w:ascii="宋体" w:hAnsi="宋体" w:cs="宋体"/>
          <w:b/>
          <w:color w:val="auto"/>
          <w:sz w:val="24"/>
          <w:szCs w:val="24"/>
          <w:highlight w:val="none"/>
          <w:u w:val="single"/>
        </w:rPr>
      </w:pPr>
      <w:r>
        <w:rPr>
          <w:rFonts w:hint="eastAsia" w:ascii="宋体" w:hAnsi="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5C95C2EF">
      <w:pPr>
        <w:tabs>
          <w:tab w:val="left" w:pos="-1080"/>
          <w:tab w:val="left" w:pos="180"/>
          <w:tab w:val="left" w:pos="1080"/>
        </w:tabs>
        <w:spacing w:line="360" w:lineRule="auto"/>
        <w:rPr>
          <w:rFonts w:hint="eastAsia" w:ascii="宋体" w:hAnsi="宋体" w:cs="宋体"/>
          <w:b/>
          <w:color w:val="auto"/>
          <w:sz w:val="24"/>
          <w:szCs w:val="24"/>
          <w:highlight w:val="none"/>
        </w:rPr>
      </w:pPr>
    </w:p>
    <w:p w14:paraId="1A930DC0">
      <w:pPr>
        <w:tabs>
          <w:tab w:val="left" w:pos="-1080"/>
          <w:tab w:val="left" w:pos="180"/>
          <w:tab w:val="left" w:pos="1080"/>
        </w:tabs>
        <w:spacing w:line="360" w:lineRule="auto"/>
        <w:rPr>
          <w:rFonts w:hint="eastAsia" w:ascii="宋体" w:hAnsi="宋体" w:cs="宋体"/>
          <w:b/>
          <w:color w:val="auto"/>
          <w:sz w:val="32"/>
          <w:szCs w:val="32"/>
          <w:highlight w:val="none"/>
        </w:rPr>
      </w:pPr>
      <w:r>
        <w:rPr>
          <w:rFonts w:hint="eastAsia" w:ascii="宋体" w:hAnsi="宋体" w:cs="宋体"/>
          <w:b/>
          <w:color w:val="auto"/>
          <w:sz w:val="32"/>
          <w:szCs w:val="32"/>
          <w:highlight w:val="none"/>
        </w:rPr>
        <w:t>附件：评标标准、权重</w:t>
      </w:r>
    </w:p>
    <w:p w14:paraId="7C7B585B">
      <w:pPr>
        <w:tabs>
          <w:tab w:val="left" w:pos="-1080"/>
          <w:tab w:val="left" w:pos="180"/>
          <w:tab w:val="left" w:pos="1080"/>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（一）技术评分(F1)：按</w:t>
      </w:r>
      <w:r>
        <w:rPr>
          <w:rFonts w:hint="eastAsia" w:ascii="宋体" w:hAnsi="宋体" w:cs="宋体"/>
          <w:color w:val="auto"/>
          <w:sz w:val="24"/>
          <w:szCs w:val="24"/>
          <w:highlight w:val="none"/>
          <w:u w:val="single"/>
        </w:rPr>
        <w:t>55</w:t>
      </w:r>
      <w:r>
        <w:rPr>
          <w:rFonts w:hint="eastAsia" w:ascii="宋体" w:hAnsi="宋体" w:cs="宋体"/>
          <w:color w:val="auto"/>
          <w:sz w:val="24"/>
          <w:szCs w:val="24"/>
          <w:highlight w:val="none"/>
        </w:rPr>
        <w:t>分评分法，技术评分考虑下列因素：</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14:paraId="5EE917D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6CCF332">
            <w:pPr>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vAlign w:val="center"/>
          </w:tcPr>
          <w:p w14:paraId="64EDA642">
            <w:pPr>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vAlign w:val="center"/>
          </w:tcPr>
          <w:p w14:paraId="0F922AE3">
            <w:pPr>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7F47B6B2">
            <w:pPr>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4839170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A782A49">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w:t>
            </w:r>
          </w:p>
        </w:tc>
        <w:tc>
          <w:tcPr>
            <w:tcW w:w="6838" w:type="dxa"/>
            <w:tcBorders>
              <w:top w:val="single" w:color="auto" w:sz="4" w:space="0"/>
              <w:left w:val="single" w:color="auto" w:sz="4" w:space="0"/>
              <w:bottom w:val="single" w:color="auto" w:sz="4" w:space="0"/>
              <w:right w:val="single" w:color="auto" w:sz="4" w:space="0"/>
            </w:tcBorders>
            <w:vAlign w:val="center"/>
          </w:tcPr>
          <w:p w14:paraId="056B38AA">
            <w:pPr>
              <w:widowControl/>
              <w:spacing w:line="360" w:lineRule="auto"/>
              <w:rPr>
                <w:rFonts w:hint="eastAsia" w:ascii="宋体" w:hAnsi="宋体" w:cs="宋体"/>
                <w:color w:val="auto"/>
                <w:kern w:val="0"/>
                <w:sz w:val="24"/>
                <w:szCs w:val="24"/>
                <w:highlight w:val="none"/>
              </w:rPr>
            </w:pPr>
            <w:r>
              <w:rPr>
                <w:rFonts w:hint="eastAsia" w:ascii="宋体" w:hAnsi="宋体"/>
                <w:color w:val="auto"/>
                <w:sz w:val="24"/>
                <w:szCs w:val="24"/>
                <w:highlight w:val="none"/>
              </w:rPr>
              <w:t>定量：</w:t>
            </w:r>
            <w:r>
              <w:rPr>
                <w:rFonts w:hint="eastAsia" w:ascii="宋体" w:hAnsi="宋体"/>
                <w:color w:val="auto"/>
                <w:sz w:val="24"/>
                <w:szCs w:val="24"/>
                <w:highlight w:val="none"/>
              </w:rPr>
              <w:t>满分3分，根据投标文件中投标产品的检验报告</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扫描件</w:t>
            </w:r>
            <w:r>
              <w:rPr>
                <w:rFonts w:hint="eastAsia" w:ascii="宋体" w:hAnsi="宋体"/>
                <w:color w:val="auto"/>
                <w:sz w:val="24"/>
                <w:szCs w:val="24"/>
                <w:highlight w:val="none"/>
                <w:lang w:eastAsia="zh-CN"/>
              </w:rPr>
              <w:t>）</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70克</w:t>
            </w:r>
            <w:r>
              <w:rPr>
                <w:rFonts w:hint="eastAsia" w:ascii="宋体" w:hAnsi="宋体"/>
                <w:color w:val="auto"/>
                <w:sz w:val="24"/>
                <w:szCs w:val="24"/>
                <w:highlight w:val="none"/>
              </w:rPr>
              <w:t>复印纸按照国标GB/T 24988-2020优等品要求，定量正负偏差不得大于4%。满足此标准的前提下，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定量≥71g/㎡的得3分，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67.2 g/㎡＜定量＜71 g/㎡的得1.5分，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343CEAEC">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7DC1158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1D32594">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p>
        </w:tc>
        <w:tc>
          <w:tcPr>
            <w:tcW w:w="6838" w:type="dxa"/>
            <w:tcBorders>
              <w:top w:val="single" w:color="auto" w:sz="4" w:space="0"/>
              <w:left w:val="single" w:color="auto" w:sz="4" w:space="0"/>
              <w:bottom w:val="single" w:color="auto" w:sz="4" w:space="0"/>
              <w:right w:val="single" w:color="auto" w:sz="4" w:space="0"/>
            </w:tcBorders>
            <w:vAlign w:val="center"/>
          </w:tcPr>
          <w:p w14:paraId="063688B3">
            <w:pPr>
              <w:widowControl/>
              <w:spacing w:line="360" w:lineRule="auto"/>
              <w:rPr>
                <w:rFonts w:hint="eastAsia" w:ascii="宋体" w:hAnsi="宋体" w:cs="宋体"/>
                <w:color w:val="auto"/>
                <w:kern w:val="0"/>
                <w:sz w:val="24"/>
                <w:szCs w:val="24"/>
                <w:highlight w:val="none"/>
              </w:rPr>
            </w:pPr>
            <w:r>
              <w:rPr>
                <w:rFonts w:hint="eastAsia" w:ascii="宋体" w:hAnsi="宋体"/>
                <w:color w:val="auto"/>
                <w:sz w:val="24"/>
                <w:szCs w:val="24"/>
                <w:highlight w:val="none"/>
              </w:rPr>
              <w:t>定量：</w:t>
            </w:r>
            <w:r>
              <w:rPr>
                <w:rFonts w:hint="eastAsia" w:ascii="宋体" w:hAnsi="宋体"/>
                <w:color w:val="auto"/>
                <w:sz w:val="24"/>
                <w:szCs w:val="24"/>
                <w:highlight w:val="none"/>
              </w:rPr>
              <w:t>满分3分，根据投标文件中投标产品的检验报告</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扫描件</w:t>
            </w:r>
            <w:r>
              <w:rPr>
                <w:rFonts w:hint="eastAsia" w:ascii="宋体" w:hAnsi="宋体"/>
                <w:color w:val="auto"/>
                <w:sz w:val="24"/>
                <w:szCs w:val="24"/>
                <w:highlight w:val="none"/>
                <w:lang w:eastAsia="zh-CN"/>
              </w:rPr>
              <w:t>）</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80克</w:t>
            </w:r>
            <w:r>
              <w:rPr>
                <w:rFonts w:hint="eastAsia" w:ascii="宋体" w:hAnsi="宋体"/>
                <w:color w:val="auto"/>
                <w:sz w:val="24"/>
                <w:szCs w:val="24"/>
                <w:highlight w:val="none"/>
              </w:rPr>
              <w:t>复印纸按照国标GB/T 24988-2020优等品要求，定量正负偏差不得大于4%。满足此标准的前提下，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定量≥81g/㎡的得3分，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76.8g/㎡＜定量＜81g/㎡的得1.5分，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295658BA">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3519107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E2460CC">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1-3</w:t>
            </w:r>
          </w:p>
        </w:tc>
        <w:tc>
          <w:tcPr>
            <w:tcW w:w="6838" w:type="dxa"/>
            <w:tcBorders>
              <w:top w:val="single" w:color="auto" w:sz="4" w:space="0"/>
              <w:left w:val="single" w:color="auto" w:sz="4" w:space="0"/>
              <w:bottom w:val="single" w:color="auto" w:sz="4" w:space="0"/>
              <w:right w:val="single" w:color="auto" w:sz="4" w:space="0"/>
            </w:tcBorders>
            <w:vAlign w:val="center"/>
          </w:tcPr>
          <w:p w14:paraId="31A24BD9">
            <w:pPr>
              <w:widowControl/>
              <w:spacing w:line="360" w:lineRule="auto"/>
              <w:rPr>
                <w:rFonts w:hint="eastAsia" w:ascii="宋体" w:hAnsi="宋体" w:cs="宋体"/>
                <w:color w:val="auto"/>
                <w:kern w:val="0"/>
                <w:sz w:val="24"/>
                <w:szCs w:val="24"/>
                <w:highlight w:val="none"/>
              </w:rPr>
            </w:pPr>
            <w:r>
              <w:rPr>
                <w:rFonts w:hint="eastAsia" w:ascii="宋体" w:hAnsi="宋体"/>
                <w:color w:val="auto"/>
                <w:sz w:val="24"/>
                <w:szCs w:val="24"/>
                <w:highlight w:val="none"/>
              </w:rPr>
              <w:t>厚度：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70克</w:t>
            </w:r>
            <w:r>
              <w:rPr>
                <w:rFonts w:hint="eastAsia" w:ascii="宋体" w:hAnsi="宋体"/>
                <w:color w:val="auto"/>
                <w:sz w:val="24"/>
                <w:szCs w:val="24"/>
                <w:highlight w:val="none"/>
              </w:rPr>
              <w:t>复印纸按照国标GB/T 24988-2020优等品要求，厚度需大于等于92微米。满足此标准的前提下，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厚度≥101微米的得3分，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92微米＜厚度＜101微米的得1.5分，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3DD03FF7">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393A841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D28777A">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1-4</w:t>
            </w:r>
          </w:p>
        </w:tc>
        <w:tc>
          <w:tcPr>
            <w:tcW w:w="6838" w:type="dxa"/>
            <w:tcBorders>
              <w:top w:val="single" w:color="auto" w:sz="4" w:space="0"/>
              <w:left w:val="single" w:color="auto" w:sz="4" w:space="0"/>
              <w:bottom w:val="single" w:color="auto" w:sz="4" w:space="0"/>
              <w:right w:val="single" w:color="auto" w:sz="4" w:space="0"/>
            </w:tcBorders>
            <w:vAlign w:val="center"/>
          </w:tcPr>
          <w:p w14:paraId="15832198">
            <w:pPr>
              <w:widowControl/>
              <w:spacing w:line="360" w:lineRule="auto"/>
              <w:rPr>
                <w:rFonts w:hint="eastAsia" w:ascii="宋体" w:hAnsi="宋体" w:cs="宋体"/>
                <w:color w:val="auto"/>
                <w:kern w:val="0"/>
                <w:sz w:val="24"/>
                <w:szCs w:val="24"/>
                <w:highlight w:val="none"/>
              </w:rPr>
            </w:pPr>
            <w:r>
              <w:rPr>
                <w:rFonts w:hint="eastAsia" w:ascii="宋体" w:hAnsi="宋体"/>
                <w:color w:val="auto"/>
                <w:sz w:val="24"/>
                <w:szCs w:val="24"/>
                <w:highlight w:val="none"/>
              </w:rPr>
              <w:t>厚度：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80克</w:t>
            </w:r>
            <w:r>
              <w:rPr>
                <w:rFonts w:hint="eastAsia" w:ascii="宋体" w:hAnsi="宋体"/>
                <w:color w:val="auto"/>
                <w:sz w:val="24"/>
                <w:szCs w:val="24"/>
                <w:highlight w:val="none"/>
              </w:rPr>
              <w:t>复印纸按照国标GB/T 24988-2020优等品要求，厚度需大于等于103微米。满足此标准的前提下，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厚度≥104微米的得3分，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103微米＜厚度＜104微米的得1.5分，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0FCB1FE9">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7ED3664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E4F83A2">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p>
        </w:tc>
        <w:tc>
          <w:tcPr>
            <w:tcW w:w="6838" w:type="dxa"/>
            <w:tcBorders>
              <w:top w:val="single" w:color="auto" w:sz="4" w:space="0"/>
              <w:left w:val="single" w:color="auto" w:sz="4" w:space="0"/>
              <w:bottom w:val="single" w:color="auto" w:sz="4" w:space="0"/>
              <w:right w:val="single" w:color="auto" w:sz="4" w:space="0"/>
            </w:tcBorders>
            <w:vAlign w:val="center"/>
          </w:tcPr>
          <w:p w14:paraId="696344E5">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挺度：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70克</w:t>
            </w:r>
            <w:r>
              <w:rPr>
                <w:rFonts w:hint="eastAsia" w:ascii="宋体" w:hAnsi="宋体"/>
                <w:color w:val="auto"/>
                <w:sz w:val="24"/>
                <w:szCs w:val="24"/>
                <w:highlight w:val="none"/>
              </w:rPr>
              <w:t>复印纸按照国标GB/T 24988-2020优等品要求，使用弯曲法，纵向挺度大于等于75MN，横向挺度大于等于32MN。满足此标准的前提下，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纵向挺度+横向挺度≥130MN的得3分，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107MN＜纵向挺度+横向挺度＜130MN 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42981F9B">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3436D3C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9B0EDED">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1-6</w:t>
            </w:r>
          </w:p>
        </w:tc>
        <w:tc>
          <w:tcPr>
            <w:tcW w:w="6838" w:type="dxa"/>
            <w:tcBorders>
              <w:top w:val="single" w:color="auto" w:sz="4" w:space="0"/>
              <w:left w:val="single" w:color="auto" w:sz="4" w:space="0"/>
              <w:bottom w:val="single" w:color="auto" w:sz="4" w:space="0"/>
              <w:right w:val="single" w:color="auto" w:sz="4" w:space="0"/>
            </w:tcBorders>
            <w:vAlign w:val="center"/>
          </w:tcPr>
          <w:p w14:paraId="63225A2A">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挺度：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80克</w:t>
            </w:r>
            <w:r>
              <w:rPr>
                <w:rFonts w:hint="eastAsia" w:ascii="宋体" w:hAnsi="宋体"/>
                <w:color w:val="auto"/>
                <w:sz w:val="24"/>
                <w:szCs w:val="24"/>
                <w:highlight w:val="none"/>
              </w:rPr>
              <w:t>复印纸按照国标GB/T 24988-2020优等品要求，使用弯曲法，纵向挺度大于等于100MN，横向挺度大于等于42MN。满足此标准的前提下，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纵向挺度+横向挺度≥170MN的得3分，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142MN＜纵向挺度+横向挺度＜170MN 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6DB280EB">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79D279B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1E383E5">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1-7</w:t>
            </w:r>
          </w:p>
        </w:tc>
        <w:tc>
          <w:tcPr>
            <w:tcW w:w="6838" w:type="dxa"/>
            <w:tcBorders>
              <w:top w:val="single" w:color="auto" w:sz="4" w:space="0"/>
              <w:left w:val="single" w:color="auto" w:sz="4" w:space="0"/>
              <w:bottom w:val="single" w:color="auto" w:sz="4" w:space="0"/>
              <w:right w:val="single" w:color="auto" w:sz="4" w:space="0"/>
            </w:tcBorders>
            <w:vAlign w:val="center"/>
          </w:tcPr>
          <w:p w14:paraId="08725D3B">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不透明度：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70克</w:t>
            </w:r>
            <w:r>
              <w:rPr>
                <w:rFonts w:hint="eastAsia" w:ascii="宋体" w:hAnsi="宋体"/>
                <w:color w:val="auto"/>
                <w:sz w:val="24"/>
                <w:szCs w:val="24"/>
                <w:highlight w:val="none"/>
              </w:rPr>
              <w:t>复印纸按照国标GB/T 24988-2020优等品要求，不透明度≥91%。满足此标准的前提下，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不透明度≥93%的得3分，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91%＜不透明度＜93%的得1.5分，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1F876CEA">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0C97FF1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43BAC11">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1-8</w:t>
            </w:r>
          </w:p>
        </w:tc>
        <w:tc>
          <w:tcPr>
            <w:tcW w:w="6838" w:type="dxa"/>
            <w:tcBorders>
              <w:top w:val="single" w:color="auto" w:sz="4" w:space="0"/>
              <w:left w:val="single" w:color="auto" w:sz="4" w:space="0"/>
              <w:bottom w:val="single" w:color="auto" w:sz="4" w:space="0"/>
              <w:right w:val="single" w:color="auto" w:sz="4" w:space="0"/>
            </w:tcBorders>
            <w:vAlign w:val="center"/>
          </w:tcPr>
          <w:p w14:paraId="6F24F7AF">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不透明度：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80克</w:t>
            </w:r>
            <w:r>
              <w:rPr>
                <w:rFonts w:hint="eastAsia" w:ascii="宋体" w:hAnsi="宋体"/>
                <w:color w:val="auto"/>
                <w:sz w:val="24"/>
                <w:szCs w:val="24"/>
                <w:highlight w:val="none"/>
              </w:rPr>
              <w:t>复印纸按照国标GB/T 24988-2020优等品要求，不透明度≥93%。满足此标准的前提下，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不透明度≥94%的得3分，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93%＜不透明度＜94%的得1.5分，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012C58CB">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3D3D5A4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289A868">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1-9</w:t>
            </w:r>
          </w:p>
        </w:tc>
        <w:tc>
          <w:tcPr>
            <w:tcW w:w="6838" w:type="dxa"/>
            <w:tcBorders>
              <w:top w:val="single" w:color="auto" w:sz="4" w:space="0"/>
              <w:left w:val="single" w:color="auto" w:sz="4" w:space="0"/>
              <w:bottom w:val="single" w:color="auto" w:sz="4" w:space="0"/>
              <w:right w:val="single" w:color="auto" w:sz="4" w:space="0"/>
            </w:tcBorders>
            <w:vAlign w:val="center"/>
          </w:tcPr>
          <w:p w14:paraId="39E58061">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平滑度：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进行评分。投标产品1-1至1-10中</w:t>
            </w:r>
            <w:r>
              <w:rPr>
                <w:rFonts w:hint="eastAsia" w:ascii="宋体" w:hAnsi="宋体"/>
                <w:color w:val="auto"/>
                <w:sz w:val="24"/>
                <w:szCs w:val="24"/>
                <w:highlight w:val="none"/>
              </w:rPr>
              <w:t>70克和80克</w:t>
            </w:r>
            <w:r>
              <w:rPr>
                <w:rFonts w:hint="eastAsia" w:ascii="宋体" w:hAnsi="宋体"/>
                <w:color w:val="auto"/>
                <w:sz w:val="24"/>
                <w:szCs w:val="24"/>
                <w:highlight w:val="none"/>
              </w:rPr>
              <w:t>复印纸按照国标GB/T 24988-2020优等品要求，平滑度（两面中的最低值）≥18s。满足此标准的前提下，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平滑度（两面中的最低值）≥23s的得2分，</w:t>
            </w:r>
            <w:r>
              <w:rPr>
                <w:rFonts w:hint="eastAsia" w:ascii="宋体" w:hAnsi="宋体"/>
                <w:color w:val="auto"/>
                <w:sz w:val="24"/>
                <w:szCs w:val="24"/>
                <w:highlight w:val="none"/>
              </w:rPr>
              <w:br w:type="textWrapping"/>
            </w:r>
            <w:r>
              <w:rPr>
                <w:rFonts w:hint="eastAsia" w:ascii="宋体" w:hAnsi="宋体"/>
                <w:color w:val="auto"/>
                <w:sz w:val="24"/>
                <w:szCs w:val="24"/>
                <w:highlight w:val="none"/>
              </w:rPr>
              <w:t>18s＜平滑度（两面中的最低值）＜23s的得1分，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55C469DB">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2</w:t>
            </w:r>
          </w:p>
        </w:tc>
      </w:tr>
      <w:tr w14:paraId="684AA07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7649621">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1-10</w:t>
            </w:r>
          </w:p>
        </w:tc>
        <w:tc>
          <w:tcPr>
            <w:tcW w:w="6838" w:type="dxa"/>
            <w:tcBorders>
              <w:top w:val="single" w:color="auto" w:sz="4" w:space="0"/>
              <w:left w:val="single" w:color="auto" w:sz="4" w:space="0"/>
              <w:bottom w:val="single" w:color="auto" w:sz="4" w:space="0"/>
              <w:right w:val="single" w:color="auto" w:sz="4" w:space="0"/>
            </w:tcBorders>
            <w:vAlign w:val="center"/>
          </w:tcPr>
          <w:p w14:paraId="3F17A36D">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定量</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70克</w:t>
            </w:r>
            <w:r>
              <w:rPr>
                <w:rFonts w:hint="eastAsia" w:ascii="宋体" w:hAnsi="宋体"/>
                <w:color w:val="auto"/>
                <w:sz w:val="24"/>
                <w:szCs w:val="24"/>
                <w:highlight w:val="none"/>
              </w:rPr>
              <w:t>复印纸按照国标GB/T 24988-2020合格品要求，定量正负偏差不得大于4%。满足此标准的前提下，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定量≥71g/㎡的得3分，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67.2 g/㎡＜定量＜71 g/㎡的得1.5分，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09A351DC">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434EDF6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0C7298B">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1-11</w:t>
            </w:r>
          </w:p>
        </w:tc>
        <w:tc>
          <w:tcPr>
            <w:tcW w:w="6838" w:type="dxa"/>
            <w:tcBorders>
              <w:top w:val="single" w:color="auto" w:sz="4" w:space="0"/>
              <w:left w:val="single" w:color="auto" w:sz="4" w:space="0"/>
              <w:bottom w:val="single" w:color="auto" w:sz="4" w:space="0"/>
              <w:right w:val="single" w:color="auto" w:sz="4" w:space="0"/>
            </w:tcBorders>
            <w:vAlign w:val="center"/>
          </w:tcPr>
          <w:p w14:paraId="355130BA">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定量</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80克</w:t>
            </w:r>
            <w:r>
              <w:rPr>
                <w:rFonts w:hint="eastAsia" w:ascii="宋体" w:hAnsi="宋体"/>
                <w:color w:val="auto"/>
                <w:sz w:val="24"/>
                <w:szCs w:val="24"/>
                <w:highlight w:val="none"/>
              </w:rPr>
              <w:t>复印纸按照国标GB/T 24988-2020合格品要求，定量正负偏差不得大于4%。满足此标准的前提下，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定量≥81g/㎡的得3分，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76.8g/㎡＜定量＜81g/㎡的得1.5分，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4F2B1D93">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2B165CD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8940CA5">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1-12</w:t>
            </w:r>
          </w:p>
        </w:tc>
        <w:tc>
          <w:tcPr>
            <w:tcW w:w="6838" w:type="dxa"/>
            <w:tcBorders>
              <w:top w:val="single" w:color="auto" w:sz="4" w:space="0"/>
              <w:left w:val="single" w:color="auto" w:sz="4" w:space="0"/>
              <w:bottom w:val="single" w:color="auto" w:sz="4" w:space="0"/>
              <w:right w:val="single" w:color="auto" w:sz="4" w:space="0"/>
            </w:tcBorders>
            <w:vAlign w:val="center"/>
          </w:tcPr>
          <w:p w14:paraId="42BB9596">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厚度：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70克</w:t>
            </w:r>
            <w:r>
              <w:rPr>
                <w:rFonts w:hint="eastAsia" w:ascii="宋体" w:hAnsi="宋体"/>
                <w:color w:val="auto"/>
                <w:sz w:val="24"/>
                <w:szCs w:val="24"/>
                <w:highlight w:val="none"/>
              </w:rPr>
              <w:t>复印纸按照国标GB/T 24988-2020合格品要求，厚度需大于等于88微米。满足此标准的前提下，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厚度≥98微米的得3分，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88微米＜厚度＜98微米的得1.5分，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736E53ED">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451B702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8EB8E5E">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1-13</w:t>
            </w:r>
          </w:p>
        </w:tc>
        <w:tc>
          <w:tcPr>
            <w:tcW w:w="6838" w:type="dxa"/>
            <w:tcBorders>
              <w:top w:val="single" w:color="auto" w:sz="4" w:space="0"/>
              <w:left w:val="single" w:color="auto" w:sz="4" w:space="0"/>
              <w:bottom w:val="single" w:color="auto" w:sz="4" w:space="0"/>
              <w:right w:val="single" w:color="auto" w:sz="4" w:space="0"/>
            </w:tcBorders>
            <w:vAlign w:val="center"/>
          </w:tcPr>
          <w:p w14:paraId="42DAB56D">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厚度：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80克</w:t>
            </w:r>
            <w:r>
              <w:rPr>
                <w:rFonts w:hint="eastAsia" w:ascii="宋体" w:hAnsi="宋体"/>
                <w:color w:val="auto"/>
                <w:sz w:val="24"/>
                <w:szCs w:val="24"/>
                <w:highlight w:val="none"/>
              </w:rPr>
              <w:t>复印纸按照国标GB/T 24988-2020合格品要求，厚度需大于等于98微米。满足此标准的前提下，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厚度≥103微米的得3分，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98微米＜厚度＜103微米的得1.5分，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1EDF16E9">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452DF3E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0EB11D6">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1-14</w:t>
            </w:r>
          </w:p>
        </w:tc>
        <w:tc>
          <w:tcPr>
            <w:tcW w:w="6838" w:type="dxa"/>
            <w:tcBorders>
              <w:top w:val="single" w:color="auto" w:sz="4" w:space="0"/>
              <w:left w:val="single" w:color="auto" w:sz="4" w:space="0"/>
              <w:bottom w:val="single" w:color="auto" w:sz="4" w:space="0"/>
              <w:right w:val="single" w:color="auto" w:sz="4" w:space="0"/>
            </w:tcBorders>
            <w:vAlign w:val="center"/>
          </w:tcPr>
          <w:p w14:paraId="4E255585">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挺度：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70克</w:t>
            </w:r>
            <w:r>
              <w:rPr>
                <w:rFonts w:hint="eastAsia" w:ascii="宋体" w:hAnsi="宋体"/>
                <w:color w:val="auto"/>
                <w:sz w:val="24"/>
                <w:szCs w:val="24"/>
                <w:highlight w:val="none"/>
              </w:rPr>
              <w:t>复印纸按照国标GB/T 24988-2020合格品要求，使用弯曲法，纵向挺度大于等于65MN，横向挺度大于等于26MN。满足此标准的前提下，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纵向挺度+横向挺度≥120MN的得3分，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91MN＜纵向挺度+横向挺度＜120MN 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78E6BE7F">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44F2DA8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1D1ABFC">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1-15</w:t>
            </w:r>
          </w:p>
        </w:tc>
        <w:tc>
          <w:tcPr>
            <w:tcW w:w="6838" w:type="dxa"/>
            <w:tcBorders>
              <w:top w:val="single" w:color="auto" w:sz="4" w:space="0"/>
              <w:left w:val="single" w:color="auto" w:sz="4" w:space="0"/>
              <w:bottom w:val="single" w:color="auto" w:sz="4" w:space="0"/>
              <w:right w:val="single" w:color="auto" w:sz="4" w:space="0"/>
            </w:tcBorders>
            <w:vAlign w:val="center"/>
          </w:tcPr>
          <w:p w14:paraId="7EAABD2C">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挺度：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80克</w:t>
            </w:r>
            <w:r>
              <w:rPr>
                <w:rFonts w:hint="eastAsia" w:ascii="宋体" w:hAnsi="宋体"/>
                <w:color w:val="auto"/>
                <w:sz w:val="24"/>
                <w:szCs w:val="24"/>
                <w:highlight w:val="none"/>
              </w:rPr>
              <w:t>复印纸按照国标GB/T 24988-2020合格品要求，使用弯曲法，纵向挺度大于等于80MN，横向挺度大于等于35MN。满足此标准的前提下，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纵向挺度+横向挺度≥160MN的得3分，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115MN＜纵向挺度+横向挺度＜160MN 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57F57257">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7355994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F2068F0">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1-16</w:t>
            </w:r>
          </w:p>
        </w:tc>
        <w:tc>
          <w:tcPr>
            <w:tcW w:w="6838" w:type="dxa"/>
            <w:tcBorders>
              <w:top w:val="single" w:color="auto" w:sz="4" w:space="0"/>
              <w:left w:val="single" w:color="auto" w:sz="4" w:space="0"/>
              <w:bottom w:val="single" w:color="auto" w:sz="4" w:space="0"/>
              <w:right w:val="single" w:color="auto" w:sz="4" w:space="0"/>
            </w:tcBorders>
            <w:vAlign w:val="center"/>
          </w:tcPr>
          <w:p w14:paraId="0416625B">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不透明度：</w:t>
            </w:r>
            <w:r>
              <w:rPr>
                <w:rFonts w:hint="eastAsia" w:ascii="宋体" w:hAnsi="宋体"/>
                <w:color w:val="auto"/>
                <w:sz w:val="24"/>
                <w:szCs w:val="24"/>
                <w:highlight w:val="none"/>
              </w:rPr>
              <w:t>满分3分，根据投标文件中投标产品的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70克</w:t>
            </w:r>
            <w:r>
              <w:rPr>
                <w:rFonts w:hint="eastAsia" w:ascii="宋体" w:hAnsi="宋体"/>
                <w:color w:val="auto"/>
                <w:sz w:val="24"/>
                <w:szCs w:val="24"/>
                <w:highlight w:val="none"/>
              </w:rPr>
              <w:t>复印纸按照国标GB/T 24988-2020合格品要求，不透明度≥86%。满足此标准的前提下，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不透明度≥91%的得3分，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86%＜不透明度＜91%的得1.5分，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66F1C955">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7A7D313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9688E3F">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1-17</w:t>
            </w:r>
          </w:p>
        </w:tc>
        <w:tc>
          <w:tcPr>
            <w:tcW w:w="6838" w:type="dxa"/>
            <w:tcBorders>
              <w:top w:val="single" w:color="auto" w:sz="4" w:space="0"/>
              <w:left w:val="single" w:color="auto" w:sz="4" w:space="0"/>
              <w:bottom w:val="single" w:color="auto" w:sz="4" w:space="0"/>
              <w:right w:val="single" w:color="auto" w:sz="4" w:space="0"/>
            </w:tcBorders>
            <w:vAlign w:val="center"/>
          </w:tcPr>
          <w:p w14:paraId="327EA014">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不透明度：</w:t>
            </w:r>
            <w:r>
              <w:rPr>
                <w:rFonts w:hint="eastAsia" w:ascii="宋体" w:hAnsi="宋体"/>
                <w:color w:val="auto"/>
                <w:sz w:val="24"/>
                <w:szCs w:val="24"/>
                <w:highlight w:val="none"/>
              </w:rPr>
              <w:t>满分2分，根据投标文件中投标产品的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80克</w:t>
            </w:r>
            <w:r>
              <w:rPr>
                <w:rFonts w:hint="eastAsia" w:ascii="宋体" w:hAnsi="宋体"/>
                <w:color w:val="auto"/>
                <w:sz w:val="24"/>
                <w:szCs w:val="24"/>
                <w:highlight w:val="none"/>
              </w:rPr>
              <w:t>复印纸按照国标GB/T 24988-2020合格品要求，不透明度≥88%。满足此标准的前提下，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不透明度≥93%的得3分，</w:t>
            </w:r>
            <w:r>
              <w:rPr>
                <w:rFonts w:hint="eastAsia" w:ascii="宋体" w:hAnsi="宋体"/>
                <w:color w:val="auto"/>
                <w:sz w:val="24"/>
                <w:szCs w:val="24"/>
                <w:highlight w:val="none"/>
              </w:rPr>
              <w:br w:type="textWrapping"/>
            </w:r>
            <w:r>
              <w:rPr>
                <w:rFonts w:hint="eastAsia" w:ascii="宋体" w:hAnsi="宋体"/>
                <w:color w:val="auto"/>
                <w:sz w:val="24"/>
                <w:szCs w:val="24"/>
                <w:highlight w:val="none"/>
              </w:rPr>
              <w:t>88%＜不透明度＜93%的得1.5分，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6D1F032D">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r w14:paraId="0865752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894EE35">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1-18</w:t>
            </w:r>
          </w:p>
        </w:tc>
        <w:tc>
          <w:tcPr>
            <w:tcW w:w="6838" w:type="dxa"/>
            <w:tcBorders>
              <w:top w:val="single" w:color="auto" w:sz="4" w:space="0"/>
              <w:left w:val="single" w:color="auto" w:sz="4" w:space="0"/>
              <w:bottom w:val="single" w:color="auto" w:sz="4" w:space="0"/>
              <w:right w:val="single" w:color="auto" w:sz="4" w:space="0"/>
            </w:tcBorders>
            <w:vAlign w:val="center"/>
          </w:tcPr>
          <w:p w14:paraId="375ACABA">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平滑度：</w:t>
            </w:r>
            <w:r>
              <w:rPr>
                <w:rFonts w:hint="eastAsia" w:ascii="宋体" w:hAnsi="宋体"/>
                <w:color w:val="auto"/>
                <w:sz w:val="24"/>
                <w:szCs w:val="24"/>
                <w:highlight w:val="none"/>
              </w:rPr>
              <w:t>满分2分，根据投标文件中投标产品的</w:t>
            </w:r>
            <w:r>
              <w:rPr>
                <w:rFonts w:hint="eastAsia" w:ascii="宋体" w:hAnsi="宋体"/>
                <w:color w:val="auto"/>
                <w:sz w:val="24"/>
                <w:szCs w:val="24"/>
                <w:highlight w:val="none"/>
                <w:lang w:eastAsia="zh-CN"/>
              </w:rPr>
              <w:t>检验报告（扫描件）</w:t>
            </w:r>
            <w:r>
              <w:rPr>
                <w:rFonts w:hint="eastAsia" w:ascii="宋体" w:hAnsi="宋体"/>
                <w:color w:val="auto"/>
                <w:sz w:val="24"/>
                <w:szCs w:val="24"/>
                <w:highlight w:val="none"/>
              </w:rPr>
              <w:t>进行评分。投标产品1-11至1-16中</w:t>
            </w:r>
            <w:r>
              <w:rPr>
                <w:rFonts w:hint="eastAsia" w:ascii="宋体" w:hAnsi="宋体"/>
                <w:color w:val="auto"/>
                <w:sz w:val="24"/>
                <w:szCs w:val="24"/>
                <w:highlight w:val="none"/>
              </w:rPr>
              <w:t>70克和80克</w:t>
            </w:r>
            <w:r>
              <w:rPr>
                <w:rFonts w:hint="eastAsia" w:ascii="宋体" w:hAnsi="宋体"/>
                <w:color w:val="auto"/>
                <w:sz w:val="24"/>
                <w:szCs w:val="24"/>
                <w:highlight w:val="none"/>
              </w:rPr>
              <w:t>复印纸按照国标GB/T 24988-2020合格品要求，平滑度（两面中的最低值）≥15s。满足此标准的前提下，</w:t>
            </w:r>
            <w:r>
              <w:rPr>
                <w:rFonts w:hint="eastAsia" w:ascii="宋体" w:hAnsi="宋体"/>
                <w:color w:val="auto"/>
                <w:sz w:val="24"/>
                <w:szCs w:val="24"/>
                <w:highlight w:val="none"/>
              </w:rPr>
              <w:br w:type="textWrapping"/>
            </w:r>
            <w:r>
              <w:rPr>
                <w:rFonts w:hint="eastAsia" w:ascii="宋体" w:hAnsi="宋体"/>
                <w:color w:val="auto"/>
                <w:sz w:val="24"/>
                <w:szCs w:val="24"/>
                <w:highlight w:val="none"/>
              </w:rPr>
              <w:t>平滑度（两面中的最低值）≥20s的得2分，</w:t>
            </w:r>
            <w:r>
              <w:rPr>
                <w:rFonts w:hint="eastAsia" w:ascii="宋体" w:hAnsi="宋体"/>
                <w:color w:val="auto"/>
                <w:sz w:val="24"/>
                <w:szCs w:val="24"/>
                <w:highlight w:val="none"/>
              </w:rPr>
              <w:br w:type="textWrapping"/>
            </w:r>
            <w:r>
              <w:rPr>
                <w:rFonts w:hint="eastAsia" w:ascii="宋体" w:hAnsi="宋体"/>
                <w:color w:val="auto"/>
                <w:sz w:val="24"/>
                <w:szCs w:val="24"/>
                <w:highlight w:val="none"/>
              </w:rPr>
              <w:t>15s＜平滑度（两面中的最低值）＜20s的得1分，</w:t>
            </w:r>
            <w:r>
              <w:rPr>
                <w:rFonts w:hint="eastAsia" w:ascii="宋体" w:hAnsi="宋体"/>
                <w:color w:val="auto"/>
                <w:sz w:val="24"/>
                <w:szCs w:val="24"/>
                <w:highlight w:val="none"/>
              </w:rPr>
              <w:br w:type="textWrapping"/>
            </w:r>
            <w:r>
              <w:rPr>
                <w:rFonts w:hint="eastAsia" w:ascii="宋体" w:hAnsi="宋体"/>
                <w:color w:val="auto"/>
                <w:sz w:val="24"/>
                <w:szCs w:val="24"/>
                <w:highlight w:val="none"/>
              </w:rPr>
              <w:t>其余得0分。(得分可并列）</w:t>
            </w:r>
          </w:p>
        </w:tc>
        <w:tc>
          <w:tcPr>
            <w:tcW w:w="898" w:type="dxa"/>
            <w:tcBorders>
              <w:top w:val="single" w:color="auto" w:sz="4" w:space="0"/>
              <w:left w:val="single" w:color="auto" w:sz="4" w:space="0"/>
              <w:bottom w:val="single" w:color="auto" w:sz="4" w:space="0"/>
              <w:right w:val="single" w:color="auto" w:sz="4" w:space="0"/>
            </w:tcBorders>
            <w:vAlign w:val="center"/>
          </w:tcPr>
          <w:p w14:paraId="600E3E30">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2</w:t>
            </w:r>
          </w:p>
        </w:tc>
      </w:tr>
      <w:tr w14:paraId="698EF24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64BC6FE">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1-19</w:t>
            </w:r>
          </w:p>
        </w:tc>
        <w:tc>
          <w:tcPr>
            <w:tcW w:w="6838" w:type="dxa"/>
            <w:tcBorders>
              <w:top w:val="single" w:color="auto" w:sz="4" w:space="0"/>
              <w:left w:val="single" w:color="auto" w:sz="4" w:space="0"/>
              <w:bottom w:val="single" w:color="auto" w:sz="4" w:space="0"/>
              <w:right w:val="single" w:color="auto" w:sz="4" w:space="0"/>
            </w:tcBorders>
            <w:vAlign w:val="center"/>
          </w:tcPr>
          <w:p w14:paraId="3AB08EFC">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sz w:val="24"/>
                <w:szCs w:val="24"/>
                <w:highlight w:val="none"/>
              </w:rPr>
              <w:t>生产能力：为保障本项目的响应效率和供货稳定，投标人提供的投标品牌的国内制造商（制造商以《中国环境标志产品认证证书》上的生产者（制造商）为准）及关联企业拥有2条及以上原纸机生产线的（不含租赁的原纸机生产线），投标人得3分；拥有1条原纸机生产线的（不含租赁的原纸机生产线），投标人得2分；拥有租赁的原纸机生产线的，投标人得0.5分；其余得0分。（投标人须提供生产线的照片、声明函，若属于租赁的原纸机生产线的还需提供租赁合同证明材料，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4D96CEC8">
            <w:pPr>
              <w:widowControl/>
              <w:spacing w:line="360" w:lineRule="auto"/>
              <w:jc w:val="center"/>
              <w:rPr>
                <w:rFonts w:hint="eastAsia" w:ascii="宋体" w:hAnsi="宋体" w:cs="宋体"/>
                <w:color w:val="auto"/>
                <w:kern w:val="0"/>
                <w:sz w:val="24"/>
                <w:szCs w:val="24"/>
                <w:highlight w:val="none"/>
              </w:rPr>
            </w:pPr>
            <w:r>
              <w:rPr>
                <w:rFonts w:hint="eastAsia" w:ascii="宋体" w:hAnsi="宋体"/>
                <w:color w:val="auto"/>
                <w:sz w:val="24"/>
                <w:szCs w:val="24"/>
                <w:highlight w:val="none"/>
              </w:rPr>
              <w:t>3</w:t>
            </w:r>
          </w:p>
        </w:tc>
      </w:tr>
    </w:tbl>
    <w:p w14:paraId="64363DDC">
      <w:pPr>
        <w:tabs>
          <w:tab w:val="left" w:pos="-1080"/>
          <w:tab w:val="left" w:pos="180"/>
          <w:tab w:val="left" w:pos="1080"/>
        </w:tabs>
        <w:spacing w:line="360" w:lineRule="auto"/>
        <w:rPr>
          <w:rFonts w:hint="eastAsia" w:ascii="宋体" w:hAnsi="宋体" w:cs="宋体"/>
          <w:color w:val="auto"/>
          <w:sz w:val="24"/>
          <w:szCs w:val="24"/>
          <w:highlight w:val="none"/>
        </w:rPr>
      </w:pPr>
    </w:p>
    <w:p w14:paraId="39B7F2A3">
      <w:pPr>
        <w:tabs>
          <w:tab w:val="left" w:pos="-1080"/>
          <w:tab w:val="left" w:pos="180"/>
          <w:tab w:val="left" w:pos="1080"/>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（二）商务评分(F2)：按</w:t>
      </w:r>
      <w:r>
        <w:rPr>
          <w:rFonts w:hint="eastAsia" w:ascii="宋体" w:hAnsi="宋体" w:cs="宋体"/>
          <w:color w:val="auto"/>
          <w:sz w:val="24"/>
          <w:szCs w:val="24"/>
          <w:highlight w:val="none"/>
        </w:rPr>
        <w:t>15</w:t>
      </w:r>
      <w:r>
        <w:rPr>
          <w:rFonts w:hint="eastAsia" w:ascii="宋体" w:hAnsi="宋体" w:cs="宋体"/>
          <w:color w:val="auto"/>
          <w:sz w:val="24"/>
          <w:szCs w:val="24"/>
          <w:highlight w:val="none"/>
        </w:rPr>
        <w:t>分评分法，商务评分考虑下列因素：</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14:paraId="2ADB62D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DE6C9F6">
            <w:pPr>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vAlign w:val="center"/>
          </w:tcPr>
          <w:p w14:paraId="3603F6C4">
            <w:pPr>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vAlign w:val="center"/>
          </w:tcPr>
          <w:p w14:paraId="2599D2E1">
            <w:pPr>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58A52185">
            <w:pPr>
              <w:spacing w:line="360" w:lineRule="auto"/>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279D6A4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AB54103">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-1</w:t>
            </w:r>
          </w:p>
        </w:tc>
        <w:tc>
          <w:tcPr>
            <w:tcW w:w="6838" w:type="dxa"/>
            <w:tcBorders>
              <w:top w:val="single" w:color="auto" w:sz="4" w:space="0"/>
              <w:left w:val="single" w:color="auto" w:sz="4" w:space="0"/>
              <w:bottom w:val="single" w:color="auto" w:sz="4" w:space="0"/>
              <w:right w:val="single" w:color="auto" w:sz="4" w:space="0"/>
            </w:tcBorders>
            <w:vAlign w:val="center"/>
          </w:tcPr>
          <w:p w14:paraId="3867622A">
            <w:pPr>
              <w:widowControl/>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根据投标人是否为投标产品的制造商、制造商的关联企业、联合体或代理商进行评分。投标人为投标全部产品（品目号1-1至1-16）的制造商或制造商的关联企业或联合体投标的得3分，其余情况得0分。(得分可并列）备注：联合体投标的，联合体一方必须是投标产品的制造商或制造商的关联企业，凡属制造商的关联企业，其关联关系应符合《企业会计准则第36号—关联方披露（2006）》（财会[2006]3号）中“关联方关系”的要求，投标人应在投标文件中按后附格式提供《关联企业证明》扫描件。</w:t>
            </w:r>
          </w:p>
        </w:tc>
        <w:tc>
          <w:tcPr>
            <w:tcW w:w="898" w:type="dxa"/>
            <w:tcBorders>
              <w:top w:val="single" w:color="auto" w:sz="4" w:space="0"/>
              <w:left w:val="single" w:color="auto" w:sz="4" w:space="0"/>
              <w:bottom w:val="single" w:color="auto" w:sz="4" w:space="0"/>
              <w:right w:val="single" w:color="auto" w:sz="4" w:space="0"/>
            </w:tcBorders>
            <w:vAlign w:val="center"/>
          </w:tcPr>
          <w:p w14:paraId="46ECF35A">
            <w:pPr>
              <w:widowControl/>
              <w:spacing w:line="360" w:lineRule="auto"/>
              <w:jc w:val="center"/>
              <w:rPr>
                <w:rFonts w:hint="eastAsia" w:ascii="宋体" w:hAnsi="宋体" w:cs="宋体"/>
                <w:color w:val="auto"/>
                <w:kern w:val="0"/>
                <w:sz w:val="24"/>
                <w:szCs w:val="24"/>
                <w:highlight w:val="none"/>
              </w:rPr>
            </w:pPr>
            <w:r>
              <w:rPr>
                <w:rFonts w:hint="eastAsia" w:ascii="宋体" w:hAnsi="宋体" w:cs="宋体"/>
                <w:color w:val="auto"/>
                <w:sz w:val="24"/>
                <w:szCs w:val="24"/>
                <w:highlight w:val="none"/>
              </w:rPr>
              <w:t>3</w:t>
            </w:r>
          </w:p>
        </w:tc>
      </w:tr>
      <w:tr w14:paraId="2CF27CD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ED5B7F0">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-2</w:t>
            </w:r>
          </w:p>
        </w:tc>
        <w:tc>
          <w:tcPr>
            <w:tcW w:w="6838" w:type="dxa"/>
            <w:tcBorders>
              <w:top w:val="single" w:color="auto" w:sz="4" w:space="0"/>
              <w:left w:val="single" w:color="auto" w:sz="4" w:space="0"/>
              <w:bottom w:val="single" w:color="auto" w:sz="4" w:space="0"/>
              <w:right w:val="single" w:color="auto" w:sz="4" w:space="0"/>
            </w:tcBorders>
            <w:vAlign w:val="center"/>
          </w:tcPr>
          <w:p w14:paraId="74EB8F94">
            <w:pPr>
              <w:widowControl/>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根据投标人所投产品的制造商（制造商以《中国环境标志产品认证证书》上的生产者（制造商）为准）或制造商关联企业是否获得由国家工业和信息化部、国家水利部、国家发展改革委、国家市场监管总局公布的</w:t>
            </w:r>
            <w:r>
              <w:rPr>
                <w:rFonts w:hint="eastAsia" w:ascii="宋体" w:hAnsi="宋体" w:cs="宋体"/>
                <w:color w:val="auto"/>
                <w:sz w:val="24"/>
                <w:szCs w:val="24"/>
                <w:highlight w:val="none"/>
              </w:rPr>
              <w:t>《2024年重点用水企业、园区水效领跑者名单》</w:t>
            </w:r>
            <w:r>
              <w:rPr>
                <w:rFonts w:hint="eastAsia" w:ascii="宋体" w:hAnsi="宋体" w:cs="宋体"/>
                <w:color w:val="auto"/>
                <w:sz w:val="24"/>
                <w:szCs w:val="24"/>
                <w:highlight w:val="none"/>
              </w:rPr>
              <w:t>中“以商品浆为原料生产印刷书写纸”该类下的名单进行评分，获得该名单的得3分，没有获得的得0分。（需提供名单附件并能在相关网站核实查询到，否则不得分）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1C58DFA7">
            <w:pPr>
              <w:widowControl/>
              <w:spacing w:line="360" w:lineRule="auto"/>
              <w:jc w:val="center"/>
              <w:rPr>
                <w:rFonts w:hint="eastAsia" w:ascii="宋体" w:hAnsi="宋体" w:cs="宋体"/>
                <w:color w:val="auto"/>
                <w:kern w:val="0"/>
                <w:sz w:val="24"/>
                <w:szCs w:val="24"/>
                <w:highlight w:val="none"/>
              </w:rPr>
            </w:pPr>
            <w:r>
              <w:rPr>
                <w:rFonts w:hint="eastAsia" w:ascii="宋体" w:hAnsi="宋体" w:cs="宋体"/>
                <w:color w:val="auto"/>
                <w:sz w:val="24"/>
                <w:szCs w:val="24"/>
                <w:highlight w:val="none"/>
              </w:rPr>
              <w:t>3</w:t>
            </w:r>
          </w:p>
        </w:tc>
      </w:tr>
      <w:tr w14:paraId="5EBDCC7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E713658">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-3</w:t>
            </w:r>
          </w:p>
        </w:tc>
        <w:tc>
          <w:tcPr>
            <w:tcW w:w="6838" w:type="dxa"/>
            <w:tcBorders>
              <w:top w:val="single" w:color="auto" w:sz="4" w:space="0"/>
              <w:left w:val="single" w:color="auto" w:sz="4" w:space="0"/>
              <w:bottom w:val="single" w:color="auto" w:sz="4" w:space="0"/>
              <w:right w:val="single" w:color="auto" w:sz="4" w:space="0"/>
            </w:tcBorders>
            <w:vAlign w:val="center"/>
          </w:tcPr>
          <w:p w14:paraId="1A7C6A1C">
            <w:pPr>
              <w:widowControl/>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投标人在响应标书中约定的“初验合格后30个日历日内支付6个月承兑期限的银行承兑汇票”基础上，本项目依照以下不同的付款方式，给予相应的评分标准：</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承诺初验合格后120个日历日支付6个月承兑期限的银行承兑汇票，得0.5分；</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承诺初验合格后90个日历日支付6个月承兑期限的银行承兑汇票，得0.3分；</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承诺初验合格后60个日历日支付6个月承兑期限的银行承兑汇票，得0.1分；</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其余得0分。（投标人需提供书面承诺函并加盖投标人公章，否则不得分，若投标人为联合体投标的，联合体中的其中一方盖章即可。）</w:t>
            </w:r>
          </w:p>
        </w:tc>
        <w:tc>
          <w:tcPr>
            <w:tcW w:w="898" w:type="dxa"/>
            <w:tcBorders>
              <w:top w:val="single" w:color="auto" w:sz="4" w:space="0"/>
              <w:left w:val="single" w:color="auto" w:sz="4" w:space="0"/>
              <w:bottom w:val="single" w:color="auto" w:sz="4" w:space="0"/>
              <w:right w:val="single" w:color="auto" w:sz="4" w:space="0"/>
            </w:tcBorders>
            <w:vAlign w:val="center"/>
          </w:tcPr>
          <w:p w14:paraId="6BC6F06C">
            <w:pPr>
              <w:widowControl/>
              <w:spacing w:line="360" w:lineRule="auto"/>
              <w:jc w:val="center"/>
              <w:rPr>
                <w:rFonts w:hint="eastAsia" w:ascii="宋体" w:hAnsi="宋体" w:cs="宋体"/>
                <w:color w:val="auto"/>
                <w:kern w:val="0"/>
                <w:sz w:val="24"/>
                <w:szCs w:val="24"/>
                <w:highlight w:val="none"/>
              </w:rPr>
            </w:pPr>
            <w:r>
              <w:rPr>
                <w:rFonts w:hint="eastAsia" w:ascii="宋体" w:hAnsi="宋体" w:cs="宋体"/>
                <w:color w:val="auto"/>
                <w:sz w:val="24"/>
                <w:szCs w:val="24"/>
                <w:highlight w:val="none"/>
              </w:rPr>
              <w:t>0.5</w:t>
            </w:r>
          </w:p>
        </w:tc>
      </w:tr>
      <w:tr w14:paraId="0CEF447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DEE7D45">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-4</w:t>
            </w:r>
          </w:p>
        </w:tc>
        <w:tc>
          <w:tcPr>
            <w:tcW w:w="6838" w:type="dxa"/>
            <w:tcBorders>
              <w:top w:val="single" w:color="auto" w:sz="4" w:space="0"/>
              <w:left w:val="single" w:color="auto" w:sz="4" w:space="0"/>
              <w:bottom w:val="single" w:color="auto" w:sz="4" w:space="0"/>
              <w:right w:val="single" w:color="auto" w:sz="4" w:space="0"/>
            </w:tcBorders>
            <w:vAlign w:val="center"/>
          </w:tcPr>
          <w:p w14:paraId="7071AEB4">
            <w:pPr>
              <w:widowControl/>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根据投标人所投产品的制造商（制造商以《中国环境标志产品认证证书》上的生产者（制造商）为准）或制造商关联企业是否获得PEFC/CFCC认证或者FSC认证进行评分，获得PEFC/CFCC认证或者FSC认证的，投标人得</w:t>
            </w: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rPr>
              <w:t>分，其余得0分。（要求提供PEFC/CFCC或者FSC证书扫描件，否则不得分）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724625FE">
            <w:pPr>
              <w:widowControl/>
              <w:spacing w:line="360" w:lineRule="auto"/>
              <w:jc w:val="center"/>
              <w:rPr>
                <w:rFonts w:hint="eastAsia" w:ascii="宋体" w:hAnsi="宋体" w:cs="宋体"/>
                <w:color w:val="auto"/>
                <w:kern w:val="0"/>
                <w:sz w:val="24"/>
                <w:szCs w:val="24"/>
                <w:highlight w:val="none"/>
              </w:rPr>
            </w:pPr>
            <w:r>
              <w:rPr>
                <w:rFonts w:hint="eastAsia" w:ascii="宋体" w:hAnsi="宋体" w:cs="宋体"/>
                <w:color w:val="auto"/>
                <w:sz w:val="24"/>
                <w:szCs w:val="24"/>
                <w:highlight w:val="none"/>
                <w:lang w:eastAsia="zh-CN"/>
              </w:rPr>
              <w:t>1</w:t>
            </w:r>
          </w:p>
        </w:tc>
      </w:tr>
      <w:tr w14:paraId="2447946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729E013">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-5</w:t>
            </w:r>
          </w:p>
        </w:tc>
        <w:tc>
          <w:tcPr>
            <w:tcW w:w="6838" w:type="dxa"/>
            <w:tcBorders>
              <w:top w:val="single" w:color="auto" w:sz="4" w:space="0"/>
              <w:left w:val="single" w:color="auto" w:sz="4" w:space="0"/>
              <w:bottom w:val="single" w:color="auto" w:sz="4" w:space="0"/>
              <w:right w:val="single" w:color="auto" w:sz="4" w:space="0"/>
            </w:tcBorders>
            <w:vAlign w:val="center"/>
          </w:tcPr>
          <w:p w14:paraId="2A3F3F91">
            <w:pPr>
              <w:widowControl/>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为保障本项目的供货稳定性，投标人提供的投标品牌的国内制造商（制造商以《中国环境标志产品认证证书》上的生产者（制造商）为准）所属集团属于</w:t>
            </w:r>
            <w:r>
              <w:rPr>
                <w:rFonts w:hint="eastAsia" w:ascii="宋体" w:hAnsi="宋体" w:cs="宋体"/>
                <w:color w:val="auto"/>
                <w:sz w:val="24"/>
                <w:szCs w:val="24"/>
                <w:highlight w:val="none"/>
              </w:rPr>
              <w:t>林浆纸一体化企业</w:t>
            </w:r>
            <w:r>
              <w:rPr>
                <w:rFonts w:hint="eastAsia" w:ascii="宋体" w:hAnsi="宋体" w:cs="宋体"/>
                <w:color w:val="auto"/>
                <w:sz w:val="24"/>
                <w:szCs w:val="24"/>
                <w:highlight w:val="none"/>
              </w:rPr>
              <w:t>的投标人得3分；非林浆纸一体化企业的得0分。（需提供关联林业公司、关联浆纸公司、关联造纸公司的营业执照并盖章，营业执照上有明确林业、造浆、造纸的经营范围，并提供制造商各个关联公司盖章的关联声明函，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7BB8FDE9">
            <w:pPr>
              <w:widowControl/>
              <w:spacing w:line="360" w:lineRule="auto"/>
              <w:jc w:val="center"/>
              <w:rPr>
                <w:rFonts w:hint="eastAsia" w:ascii="宋体" w:hAnsi="宋体" w:cs="宋体"/>
                <w:color w:val="auto"/>
                <w:kern w:val="0"/>
                <w:sz w:val="24"/>
                <w:szCs w:val="24"/>
                <w:highlight w:val="none"/>
              </w:rPr>
            </w:pPr>
            <w:r>
              <w:rPr>
                <w:rFonts w:hint="eastAsia" w:ascii="宋体" w:hAnsi="宋体" w:cs="宋体"/>
                <w:color w:val="auto"/>
                <w:sz w:val="24"/>
                <w:szCs w:val="24"/>
                <w:highlight w:val="none"/>
              </w:rPr>
              <w:t>3</w:t>
            </w:r>
          </w:p>
        </w:tc>
      </w:tr>
      <w:tr w14:paraId="686F669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4CD1E3B">
            <w:pPr>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cs="宋体"/>
                <w:bCs/>
                <w:color w:val="auto"/>
                <w:sz w:val="24"/>
                <w:szCs w:val="24"/>
                <w:highlight w:val="none"/>
              </w:rPr>
              <w:t>-6</w:t>
            </w:r>
          </w:p>
        </w:tc>
        <w:tc>
          <w:tcPr>
            <w:tcW w:w="6838" w:type="dxa"/>
            <w:tcBorders>
              <w:top w:val="single" w:color="auto" w:sz="4" w:space="0"/>
              <w:left w:val="single" w:color="auto" w:sz="4" w:space="0"/>
              <w:bottom w:val="single" w:color="auto" w:sz="4" w:space="0"/>
              <w:right w:val="single" w:color="auto" w:sz="4" w:space="0"/>
            </w:tcBorders>
            <w:vAlign w:val="center"/>
          </w:tcPr>
          <w:p w14:paraId="37EEEB0C">
            <w:pPr>
              <w:widowControl/>
              <w:spacing w:line="360"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根据投标产品制造商（制造商以《中国环境标志产品认证证书》上的生产者（制造商）为准）、制造商关联企业是否获得国家工业和信息化部确定的</w:t>
            </w:r>
            <w:r>
              <w:rPr>
                <w:rFonts w:hint="eastAsia" w:ascii="宋体" w:hAnsi="宋体" w:cs="宋体"/>
                <w:color w:val="auto"/>
                <w:sz w:val="24"/>
                <w:szCs w:val="24"/>
                <w:highlight w:val="none"/>
              </w:rPr>
              <w:t>绿色工厂</w:t>
            </w:r>
            <w:r>
              <w:rPr>
                <w:rFonts w:hint="eastAsia" w:ascii="宋体" w:hAnsi="宋体" w:cs="宋体"/>
                <w:color w:val="auto"/>
                <w:sz w:val="24"/>
                <w:szCs w:val="24"/>
                <w:highlight w:val="none"/>
              </w:rPr>
              <w:t>数量进行评分。制造商或制造商关联企业每获得</w:t>
            </w:r>
            <w:r>
              <w:rPr>
                <w:rFonts w:hint="eastAsia" w:ascii="宋体" w:hAnsi="宋体" w:cs="宋体"/>
                <w:b/>
                <w:bCs/>
                <w:color w:val="auto"/>
                <w:sz w:val="24"/>
                <w:szCs w:val="24"/>
                <w:highlight w:val="none"/>
              </w:rPr>
              <w:t>1个</w:t>
            </w:r>
            <w:r>
              <w:rPr>
                <w:rFonts w:hint="eastAsia" w:ascii="宋体" w:hAnsi="宋体" w:cs="宋体"/>
                <w:color w:val="auto"/>
                <w:sz w:val="24"/>
                <w:szCs w:val="24"/>
                <w:highlight w:val="none"/>
              </w:rPr>
              <w:t>国家级绿色工厂的，投标人</w:t>
            </w:r>
            <w:r>
              <w:rPr>
                <w:rFonts w:hint="eastAsia" w:ascii="宋体" w:hAnsi="宋体" w:cs="宋体"/>
                <w:b/>
                <w:bCs/>
                <w:color w:val="auto"/>
                <w:sz w:val="24"/>
                <w:szCs w:val="24"/>
                <w:highlight w:val="none"/>
              </w:rPr>
              <w:t>得0.5分</w:t>
            </w:r>
            <w:r>
              <w:rPr>
                <w:rFonts w:hint="eastAsia" w:ascii="宋体" w:hAnsi="宋体" w:cs="宋体"/>
                <w:color w:val="auto"/>
                <w:sz w:val="24"/>
                <w:szCs w:val="24"/>
                <w:highlight w:val="none"/>
              </w:rPr>
              <w:t>，总分不超过3分。（需提供关联制造商及其关联企业的营业执照盖章及绿色工厂名单附件，并能在相关网站核实查询到，否则不得分）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47869480">
            <w:pPr>
              <w:widowControl/>
              <w:spacing w:line="360" w:lineRule="auto"/>
              <w:jc w:val="center"/>
              <w:rPr>
                <w:rFonts w:hint="eastAsia" w:ascii="宋体" w:hAnsi="宋体" w:cs="宋体"/>
                <w:color w:val="auto"/>
                <w:kern w:val="0"/>
                <w:sz w:val="24"/>
                <w:szCs w:val="24"/>
                <w:highlight w:val="none"/>
              </w:rPr>
            </w:pPr>
            <w:r>
              <w:rPr>
                <w:rFonts w:hint="eastAsia" w:ascii="宋体" w:hAnsi="宋体" w:cs="宋体"/>
                <w:color w:val="auto"/>
                <w:sz w:val="24"/>
                <w:szCs w:val="24"/>
                <w:highlight w:val="none"/>
              </w:rPr>
              <w:t>3</w:t>
            </w:r>
          </w:p>
        </w:tc>
      </w:tr>
      <w:tr w14:paraId="648C764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5D3F5DF">
            <w:pPr>
              <w:spacing w:line="360" w:lineRule="auto"/>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2-7</w:t>
            </w:r>
          </w:p>
        </w:tc>
        <w:tc>
          <w:tcPr>
            <w:tcW w:w="6838" w:type="dxa"/>
            <w:tcBorders>
              <w:top w:val="single" w:color="auto" w:sz="4" w:space="0"/>
              <w:left w:val="single" w:color="auto" w:sz="4" w:space="0"/>
              <w:bottom w:val="single" w:color="auto" w:sz="4" w:space="0"/>
              <w:right w:val="single" w:color="auto" w:sz="4" w:space="0"/>
            </w:tcBorders>
          </w:tcPr>
          <w:p w14:paraId="731EE63E">
            <w:pPr>
              <w:tabs>
                <w:tab w:val="left" w:pos="-1080"/>
                <w:tab w:val="left" w:pos="180"/>
                <w:tab w:val="left" w:pos="1080"/>
                <w:tab w:val="left" w:pos="2370"/>
              </w:tabs>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根据投标人提供的复印纸的产品培训宣传方案进行评分。投标人承诺在合同履约期内每提供一场复印纸的产品培训宣传服务，得0.5分，总分不超过1.5分。（投标人需提供产品培训宣传服务承诺函，包括但不限于使用说明、产品宣传、产品知识等，承诺活动地点在福建省内线下地点，同时在培训前向采购人提交完整的服务方案，方案需明确活动计划、活动大纲、活动形式等核心内容，且需明确承诺活动期间产生的场地、师资、物料等所有相关费用，均由投标人自行承担，相关费用已包含在本次投标报价中，采购人无需额外支付任何费用。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6E4EDDA9">
            <w:pPr>
              <w:tabs>
                <w:tab w:val="left" w:pos="-1080"/>
                <w:tab w:val="left" w:pos="180"/>
                <w:tab w:val="left" w:pos="1080"/>
                <w:tab w:val="left" w:pos="2370"/>
              </w:tabs>
              <w:spacing w:line="360" w:lineRule="auto"/>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1.5</w:t>
            </w:r>
          </w:p>
        </w:tc>
      </w:tr>
    </w:tbl>
    <w:p w14:paraId="518F0839">
      <w:pPr>
        <w:tabs>
          <w:tab w:val="left" w:pos="-1080"/>
          <w:tab w:val="left" w:pos="180"/>
          <w:tab w:val="left" w:pos="1080"/>
        </w:tabs>
        <w:spacing w:line="360" w:lineRule="auto"/>
        <w:rPr>
          <w:rFonts w:hint="eastAsia" w:ascii="宋体" w:hAnsi="宋体" w:cs="宋体"/>
          <w:color w:val="auto"/>
          <w:sz w:val="24"/>
          <w:szCs w:val="24"/>
          <w:highlight w:val="none"/>
        </w:rPr>
      </w:pPr>
    </w:p>
    <w:p w14:paraId="25D2608B">
      <w:pPr>
        <w:tabs>
          <w:tab w:val="left" w:pos="-1080"/>
          <w:tab w:val="left" w:pos="180"/>
          <w:tab w:val="left" w:pos="1080"/>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（三）价格评分(F3)：按</w:t>
      </w:r>
      <w:r>
        <w:rPr>
          <w:rFonts w:hint="eastAsia" w:ascii="宋体" w:hAnsi="宋体" w:cs="宋体"/>
          <w:color w:val="auto"/>
          <w:sz w:val="24"/>
          <w:szCs w:val="24"/>
          <w:highlight w:val="none"/>
        </w:rPr>
        <w:t>30</w:t>
      </w:r>
      <w:r>
        <w:rPr>
          <w:rFonts w:hint="eastAsia" w:ascii="宋体" w:hAnsi="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rPr>
        <w:t>30</w:t>
      </w:r>
      <w:r>
        <w:rPr>
          <w:rFonts w:hint="eastAsia" w:ascii="宋体" w:hAnsi="宋体" w:cs="宋体"/>
          <w:color w:val="auto"/>
          <w:sz w:val="24"/>
          <w:szCs w:val="24"/>
          <w:highlight w:val="none"/>
        </w:rPr>
        <w:t>分。按公式：价格得分＝</w:t>
      </w:r>
      <w:r>
        <w:rPr>
          <w:rFonts w:hint="eastAsia" w:ascii="宋体" w:hAnsi="宋体" w:cs="宋体"/>
          <w:color w:val="auto"/>
          <w:sz w:val="24"/>
          <w:szCs w:val="24"/>
          <w:highlight w:val="none"/>
        </w:rPr>
        <w:t>30</w:t>
      </w:r>
      <w:r>
        <w:rPr>
          <w:rFonts w:hint="eastAsia" w:ascii="宋体" w:hAnsi="宋体" w:cs="宋体"/>
          <w:color w:val="auto"/>
          <w:sz w:val="24"/>
          <w:szCs w:val="24"/>
          <w:highlight w:val="none"/>
        </w:rPr>
        <w:sym w:font="Symbol" w:char="00B4"/>
      </w:r>
      <w:r>
        <w:rPr>
          <w:rFonts w:hint="eastAsia" w:ascii="宋体" w:hAnsi="宋体" w:cs="宋体"/>
          <w:color w:val="auto"/>
          <w:sz w:val="24"/>
          <w:szCs w:val="24"/>
          <w:highlight w:val="none"/>
        </w:rPr>
        <w:t xml:space="preserve"> （基准价/各个通过审核的有效投标人的评标价）计算，由此算出各个通过审核的有效投标人的价格得分。</w:t>
      </w:r>
    </w:p>
    <w:p w14:paraId="36A0AE9E">
      <w:pPr>
        <w:spacing w:line="360" w:lineRule="auto"/>
        <w:ind w:firstLine="480" w:firstLineChars="200"/>
        <w:rPr>
          <w:rFonts w:hint="eastAsia" w:ascii="宋体" w:hAnsi="宋体" w:cs="宋体"/>
          <w:b/>
          <w:color w:val="auto"/>
          <w:sz w:val="24"/>
          <w:szCs w:val="24"/>
          <w:highlight w:val="none"/>
        </w:rPr>
      </w:pPr>
      <w:r>
        <w:rPr>
          <w:rFonts w:hint="eastAsia" w:ascii="宋体" w:hAnsi="宋体" w:cs="宋体"/>
          <w:color w:val="auto"/>
          <w:sz w:val="24"/>
          <w:szCs w:val="24"/>
          <w:highlight w:val="none"/>
        </w:rPr>
        <w:t>1、“小型和微型企业产品”的评分政策：投标人提供的货物既有中型企业制造，也有小微企业制造的，不享受办法规定的小微企业扶持政策。</w:t>
      </w:r>
    </w:p>
    <w:p w14:paraId="4725EF9F">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对其提供的小型或微型企业产品的投标报价给予</w:t>
      </w:r>
      <w:r>
        <w:rPr>
          <w:rFonts w:hint="eastAsia" w:hAnsi="宋体" w:cs="宋体"/>
          <w:color w:val="auto"/>
          <w:sz w:val="24"/>
          <w:szCs w:val="24"/>
          <w:highlight w:val="none"/>
        </w:rPr>
        <w:t>15%的扣除</w:t>
      </w:r>
      <w:r>
        <w:rPr>
          <w:rFonts w:hint="eastAsia" w:hAnsi="宋体" w:cs="宋体"/>
          <w:color w:val="auto"/>
          <w:sz w:val="24"/>
          <w:szCs w:val="24"/>
          <w:highlight w:val="none"/>
        </w:rPr>
        <w:t>，扣除后的价格作为该投标人的评标价参与价格评分。</w:t>
      </w:r>
    </w:p>
    <w:p w14:paraId="60BA2679">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w:t>
      </w:r>
      <w:r>
        <w:rPr>
          <w:rFonts w:hint="eastAsia" w:hAnsi="宋体" w:cs="宋体"/>
          <w:color w:val="auto"/>
          <w:sz w:val="24"/>
          <w:szCs w:val="24"/>
          <w:highlight w:val="none"/>
        </w:rPr>
        <w:t>6%的扣除</w:t>
      </w:r>
      <w:r>
        <w:rPr>
          <w:rFonts w:hint="eastAsia" w:hAnsi="宋体" w:cs="宋体"/>
          <w:color w:val="auto"/>
          <w:sz w:val="24"/>
          <w:szCs w:val="24"/>
          <w:highlight w:val="none"/>
        </w:rPr>
        <w:t>，用扣除后的价格参加评审。</w:t>
      </w:r>
    </w:p>
    <w:p w14:paraId="04E1396A">
      <w:pPr>
        <w:pStyle w:val="11"/>
        <w:numPr>
          <w:ilvl w:val="255"/>
          <w:numId w:val="0"/>
        </w:num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189D13D1">
      <w:pPr>
        <w:numPr>
          <w:ilvl w:val="255"/>
          <w:numId w:val="0"/>
        </w:numPr>
        <w:tabs>
          <w:tab w:val="left" w:pos="-1080"/>
          <w:tab w:val="left" w:pos="180"/>
          <w:tab w:val="left" w:pos="108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2、节能、环境标志产品价格扣除：</w:t>
      </w:r>
    </w:p>
    <w:p w14:paraId="61CAC504">
      <w:pPr>
        <w:numPr>
          <w:ilvl w:val="255"/>
          <w:numId w:val="0"/>
        </w:numPr>
        <w:tabs>
          <w:tab w:val="left" w:pos="-1080"/>
          <w:tab w:val="left" w:pos="180"/>
          <w:tab w:val="left" w:pos="108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w:t>
      </w:r>
      <w:r>
        <w:rPr>
          <w:rFonts w:hint="eastAsia" w:ascii="宋体" w:hAnsi="宋体" w:cs="宋体"/>
          <w:color w:val="auto"/>
          <w:sz w:val="24"/>
          <w:szCs w:val="24"/>
          <w:highlight w:val="none"/>
        </w:rPr>
        <w:t>10%的扣除</w:t>
      </w:r>
      <w:r>
        <w:rPr>
          <w:rFonts w:hint="eastAsia" w:ascii="宋体" w:hAnsi="宋体" w:cs="宋体"/>
          <w:color w:val="auto"/>
          <w:sz w:val="24"/>
          <w:szCs w:val="24"/>
          <w:highlight w:val="none"/>
        </w:rPr>
        <w:t>，用扣除后的价格参加评审。采购标的同时包含其它非优先采购产品的，投标人须对优先采购产品和非优先采购产品进行分项报价，非优先采购产品的报价不得享受给予节能产品、环境标志产品的价格扣除优惠。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07C5E9F4">
      <w:pPr>
        <w:numPr>
          <w:ilvl w:val="255"/>
          <w:numId w:val="0"/>
        </w:numPr>
        <w:tabs>
          <w:tab w:val="left" w:pos="-1080"/>
          <w:tab w:val="left" w:pos="180"/>
          <w:tab w:val="left" w:pos="108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具体要求如下：</w:t>
      </w:r>
    </w:p>
    <w:p w14:paraId="11DC720D">
      <w:pPr>
        <w:numPr>
          <w:ilvl w:val="255"/>
          <w:numId w:val="0"/>
        </w:numPr>
        <w:tabs>
          <w:tab w:val="left" w:pos="-1080"/>
          <w:tab w:val="left" w:pos="180"/>
          <w:tab w:val="left" w:pos="108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4866C7AE">
      <w:pPr>
        <w:numPr>
          <w:ilvl w:val="255"/>
          <w:numId w:val="0"/>
        </w:numPr>
        <w:tabs>
          <w:tab w:val="left" w:pos="-1080"/>
          <w:tab w:val="left" w:pos="180"/>
          <w:tab w:val="left" w:pos="108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人应分别明确节能或环境标志产品的名称、数量、分项报价、总报价，并提供认证证书扫描件，否则不予价格扣除。若节能产品、环境标志产品认证证书不能反映产品具体信息的，须提供认证证书附件。此外，若投标人对节能或环境标志产品的报价明显高于其他同类产品的报价，投标人应按评标委员会要求作出说明并提供相关证明材料，不能合理说明或不能提供相关证明材料的，不予价格扣除。</w:t>
      </w:r>
    </w:p>
    <w:p w14:paraId="3D29B4C7">
      <w:pPr>
        <w:widowControl/>
        <w:tabs>
          <w:tab w:val="left" w:pos="-1080"/>
          <w:tab w:val="left" w:pos="180"/>
          <w:tab w:val="left" w:pos="108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若节能、环境标志产品仅是构成投标产品的部件、组件或零件，则该投标产品不享受鼓励优惠政策。属于政府强制采购的节能产品不享受价格扣除优惠。若投标产品既属于节能产品又属于环境标志产品，分别计算价格扣除优惠。</w:t>
      </w:r>
    </w:p>
    <w:p w14:paraId="4BF0200A">
      <w:pPr>
        <w:pStyle w:val="10"/>
        <w:spacing w:before="0" w:beforeAutospacing="0" w:after="0" w:afterAutospacing="0" w:line="360" w:lineRule="auto"/>
        <w:ind w:firstLine="420"/>
        <w:rPr>
          <w:rFonts w:hint="eastAsia"/>
          <w:color w:val="auto"/>
          <w:kern w:val="2"/>
          <w:highlight w:val="none"/>
        </w:rPr>
      </w:pPr>
      <w:r>
        <w:rPr>
          <w:rFonts w:hint="eastAsia"/>
          <w:color w:val="auto"/>
          <w:kern w:val="2"/>
          <w:highlight w:val="none"/>
        </w:rPr>
        <w:t>3、对本国产品的支持政策：</w:t>
      </w:r>
    </w:p>
    <w:p w14:paraId="4F250EAE">
      <w:pPr>
        <w:pStyle w:val="18"/>
        <w:spacing w:line="360" w:lineRule="auto"/>
        <w:ind w:left="21" w:firstLine="487" w:firstLineChars="203"/>
        <w:rPr>
          <w:rFonts w:hint="eastAsia"/>
          <w:color w:val="auto"/>
          <w:spacing w:val="1"/>
          <w:sz w:val="24"/>
          <w:szCs w:val="24"/>
          <w:highlight w:val="none"/>
          <w:lang w:eastAsia="zh-CN"/>
        </w:rPr>
      </w:pPr>
      <w:r>
        <w:rPr>
          <w:rFonts w:hint="eastAsia"/>
          <w:color w:val="auto"/>
          <w:spacing w:val="0"/>
          <w:sz w:val="24"/>
          <w:szCs w:val="24"/>
          <w:highlight w:val="none"/>
          <w:lang w:eastAsia="zh-CN"/>
        </w:rPr>
        <w:t>（1）本项目适用《国务院办公厅关于在政府采购中实施本国产品标准及相关政策的通知》（国办发〔2025〕34 号，以下简称《通知》）</w:t>
      </w:r>
      <w:r>
        <w:rPr>
          <w:rFonts w:hint="eastAsia"/>
          <w:color w:val="auto"/>
          <w:spacing w:val="-7"/>
          <w:sz w:val="24"/>
          <w:szCs w:val="24"/>
          <w:highlight w:val="none"/>
          <w:lang w:eastAsia="zh-CN"/>
        </w:rPr>
        <w:t>规定的本国产品标准及相关政策，</w:t>
      </w:r>
      <w:r>
        <w:rPr>
          <w:rFonts w:hint="eastAsia"/>
          <w:color w:val="auto"/>
          <w:spacing w:val="1"/>
          <w:sz w:val="24"/>
          <w:szCs w:val="24"/>
          <w:highlight w:val="none"/>
          <w:lang w:eastAsia="zh-CN"/>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15572BEC">
      <w:pPr>
        <w:pStyle w:val="18"/>
        <w:spacing w:line="360" w:lineRule="auto"/>
        <w:ind w:left="22" w:right="17" w:firstLine="491" w:firstLineChars="203"/>
        <w:rPr>
          <w:rFonts w:hint="eastAsia"/>
          <w:color w:val="auto"/>
          <w:sz w:val="24"/>
          <w:szCs w:val="24"/>
          <w:highlight w:val="none"/>
          <w:lang w:eastAsia="zh-CN"/>
        </w:rPr>
      </w:pPr>
      <w:r>
        <w:rPr>
          <w:rFonts w:hint="eastAsia"/>
          <w:color w:val="auto"/>
          <w:spacing w:val="1"/>
          <w:sz w:val="24"/>
          <w:szCs w:val="24"/>
          <w:highlight w:val="none"/>
          <w:lang w:eastAsia="zh-CN"/>
        </w:rPr>
        <w:t>（2）本项目中，国有企业、民营企业、外资</w:t>
      </w:r>
      <w:r>
        <w:rPr>
          <w:rFonts w:hint="eastAsia"/>
          <w:color w:val="auto"/>
          <w:sz w:val="24"/>
          <w:szCs w:val="24"/>
          <w:highlight w:val="none"/>
          <w:lang w:eastAsia="zh-CN"/>
        </w:rPr>
        <w:t>企业等各类经营主体</w:t>
      </w:r>
      <w:r>
        <w:rPr>
          <w:rFonts w:hint="eastAsia"/>
          <w:color w:val="auto"/>
          <w:spacing w:val="-4"/>
          <w:sz w:val="24"/>
          <w:szCs w:val="24"/>
          <w:highlight w:val="none"/>
          <w:lang w:eastAsia="zh-CN"/>
        </w:rPr>
        <w:t>平等享受本国产品政府采购支持政策，采购人及采购代理机构对各类经营主体一视同仁、平等对待，无差别待遇或歧视待遇，不指定</w:t>
      </w:r>
      <w:r>
        <w:rPr>
          <w:rFonts w:hint="eastAsia"/>
          <w:color w:val="auto"/>
          <w:spacing w:val="-1"/>
          <w:sz w:val="24"/>
          <w:szCs w:val="24"/>
          <w:highlight w:val="none"/>
          <w:lang w:eastAsia="zh-CN"/>
        </w:rPr>
        <w:t>品牌、不限制品牌注册地及所有者。</w:t>
      </w:r>
    </w:p>
    <w:p w14:paraId="5E25E867">
      <w:pPr>
        <w:pStyle w:val="18"/>
        <w:spacing w:line="360" w:lineRule="auto"/>
        <w:ind w:left="24" w:right="15" w:firstLine="488" w:firstLineChars="202"/>
        <w:rPr>
          <w:rFonts w:hint="eastAsia"/>
          <w:color w:val="auto"/>
          <w:spacing w:val="-5"/>
          <w:sz w:val="24"/>
          <w:szCs w:val="24"/>
          <w:highlight w:val="none"/>
          <w:lang w:eastAsia="zh-CN"/>
        </w:rPr>
      </w:pPr>
      <w:r>
        <w:rPr>
          <w:rFonts w:hint="eastAsia"/>
          <w:color w:val="auto"/>
          <w:spacing w:val="1"/>
          <w:sz w:val="24"/>
          <w:szCs w:val="24"/>
          <w:highlight w:val="none"/>
          <w:lang w:eastAsia="zh-CN"/>
        </w:rPr>
        <w:t>（3）本项目所称本国产品，是指符合《通知</w:t>
      </w:r>
      <w:r>
        <w:rPr>
          <w:rFonts w:hint="eastAsia"/>
          <w:color w:val="auto"/>
          <w:sz w:val="24"/>
          <w:szCs w:val="24"/>
          <w:highlight w:val="none"/>
          <w:lang w:eastAsia="zh-CN"/>
        </w:rPr>
        <w:t>》第一条规定条件的</w:t>
      </w:r>
      <w:r>
        <w:rPr>
          <w:rFonts w:hint="eastAsia"/>
          <w:color w:val="auto"/>
          <w:spacing w:val="-4"/>
          <w:sz w:val="24"/>
          <w:szCs w:val="24"/>
          <w:highlight w:val="none"/>
          <w:lang w:eastAsia="zh-CN"/>
        </w:rPr>
        <w:t>产品：①在中国境内生产，即于中华人民共和国关境内经制造、加工、组装等工序实现属性改变，形成有新名称、新特征（用途）的</w:t>
      </w:r>
      <w:r>
        <w:rPr>
          <w:rFonts w:hint="eastAsia"/>
          <w:color w:val="auto"/>
          <w:spacing w:val="-5"/>
          <w:sz w:val="24"/>
          <w:szCs w:val="24"/>
          <w:highlight w:val="none"/>
          <w:lang w:eastAsia="zh-CN"/>
        </w:rPr>
        <w:t>新产品，《通知》列明的</w:t>
      </w:r>
      <w:r>
        <w:rPr>
          <w:rFonts w:hint="eastAsia"/>
          <w:color w:val="auto"/>
          <w:spacing w:val="-46"/>
          <w:sz w:val="24"/>
          <w:szCs w:val="24"/>
          <w:highlight w:val="none"/>
          <w:lang w:eastAsia="zh-CN"/>
        </w:rPr>
        <w:t xml:space="preserve"> </w:t>
      </w:r>
      <w:r>
        <w:rPr>
          <w:rFonts w:hint="eastAsia"/>
          <w:color w:val="auto"/>
          <w:spacing w:val="-5"/>
          <w:sz w:val="24"/>
          <w:szCs w:val="24"/>
          <w:highlight w:val="none"/>
          <w:lang w:eastAsia="zh-CN"/>
        </w:rPr>
        <w:t>5</w:t>
      </w:r>
      <w:r>
        <w:rPr>
          <w:rFonts w:hint="eastAsia"/>
          <w:color w:val="auto"/>
          <w:spacing w:val="-58"/>
          <w:sz w:val="24"/>
          <w:szCs w:val="24"/>
          <w:highlight w:val="none"/>
          <w:lang w:eastAsia="zh-CN"/>
        </w:rPr>
        <w:t xml:space="preserve"> </w:t>
      </w:r>
      <w:r>
        <w:rPr>
          <w:rFonts w:hint="eastAsia"/>
          <w:color w:val="auto"/>
          <w:spacing w:val="-5"/>
          <w:sz w:val="24"/>
          <w:szCs w:val="24"/>
          <w:highlight w:val="none"/>
          <w:lang w:eastAsia="zh-CN"/>
        </w:rPr>
        <w:t>类细微操作不属于属性改变；②在中国</w:t>
      </w:r>
      <w:r>
        <w:rPr>
          <w:rFonts w:hint="eastAsia"/>
          <w:color w:val="auto"/>
          <w:spacing w:val="6"/>
          <w:sz w:val="24"/>
          <w:szCs w:val="24"/>
          <w:highlight w:val="none"/>
          <w:lang w:eastAsia="zh-CN"/>
        </w:rPr>
        <w:t>境内生产的组件成本占比达到财政部会同行业主管部门规定比例</w:t>
      </w:r>
      <w:r>
        <w:rPr>
          <w:rFonts w:hint="eastAsia"/>
          <w:color w:val="auto"/>
          <w:spacing w:val="-4"/>
          <w:sz w:val="24"/>
          <w:szCs w:val="24"/>
          <w:highlight w:val="none"/>
          <w:lang w:eastAsia="zh-CN"/>
        </w:rPr>
        <w:t>（在分产品比例要求实施前，仅需满足前款境内生产条件即可视同</w:t>
      </w:r>
      <w:r>
        <w:rPr>
          <w:rFonts w:hint="eastAsia"/>
          <w:color w:val="auto"/>
          <w:spacing w:val="1"/>
          <w:sz w:val="24"/>
          <w:szCs w:val="24"/>
          <w:highlight w:val="none"/>
          <w:lang w:eastAsia="zh-CN"/>
        </w:rPr>
        <w:t>本国产品</w:t>
      </w:r>
      <w:r>
        <w:rPr>
          <w:rFonts w:hint="eastAsia"/>
          <w:color w:val="auto"/>
          <w:spacing w:val="-65"/>
          <w:sz w:val="24"/>
          <w:szCs w:val="24"/>
          <w:highlight w:val="none"/>
          <w:lang w:eastAsia="zh-CN"/>
        </w:rPr>
        <w:t>）；</w:t>
      </w:r>
      <w:r>
        <w:rPr>
          <w:rFonts w:hint="eastAsia"/>
          <w:color w:val="auto"/>
          <w:spacing w:val="1"/>
          <w:sz w:val="24"/>
          <w:szCs w:val="24"/>
          <w:highlight w:val="none"/>
          <w:lang w:eastAsia="zh-CN"/>
        </w:rPr>
        <w:t>③特定产品在满足前两项条件基础上</w:t>
      </w:r>
      <w:r>
        <w:rPr>
          <w:rFonts w:hint="eastAsia"/>
          <w:color w:val="auto"/>
          <w:sz w:val="24"/>
          <w:szCs w:val="24"/>
          <w:highlight w:val="none"/>
          <w:lang w:eastAsia="zh-CN"/>
        </w:rPr>
        <w:t>，其关键组件、</w:t>
      </w:r>
      <w:r>
        <w:rPr>
          <w:rFonts w:hint="eastAsia"/>
          <w:color w:val="auto"/>
          <w:spacing w:val="11"/>
          <w:sz w:val="24"/>
          <w:szCs w:val="24"/>
          <w:highlight w:val="none"/>
          <w:lang w:eastAsia="zh-CN"/>
        </w:rPr>
        <w:t>关键工序符合财政部会同行业主管部门确定的境内生产/完成要</w:t>
      </w:r>
      <w:r>
        <w:rPr>
          <w:rFonts w:hint="eastAsia"/>
          <w:color w:val="auto"/>
          <w:spacing w:val="-5"/>
          <w:sz w:val="24"/>
          <w:szCs w:val="24"/>
          <w:highlight w:val="none"/>
          <w:lang w:eastAsia="zh-CN"/>
        </w:rPr>
        <w:t>求。</w:t>
      </w:r>
    </w:p>
    <w:p w14:paraId="3CCC70F3">
      <w:pPr>
        <w:pStyle w:val="18"/>
        <w:spacing w:line="360" w:lineRule="auto"/>
        <w:ind w:left="24" w:right="15" w:firstLine="464" w:firstLineChars="202"/>
        <w:rPr>
          <w:rFonts w:hint="eastAsia"/>
          <w:color w:val="auto"/>
          <w:spacing w:val="-5"/>
          <w:sz w:val="24"/>
          <w:szCs w:val="24"/>
          <w:highlight w:val="none"/>
          <w:lang w:eastAsia="zh-CN"/>
        </w:rPr>
      </w:pPr>
      <w:r>
        <w:rPr>
          <w:rFonts w:hint="eastAsia"/>
          <w:color w:val="auto"/>
          <w:spacing w:val="-5"/>
          <w:sz w:val="24"/>
          <w:szCs w:val="24"/>
          <w:highlight w:val="none"/>
          <w:lang w:eastAsia="zh-CN"/>
        </w:rPr>
        <w:t>（4）产品在中国境内生产的组件成本核算，严格按照《通知》附件 1《中国境内生产的组件成本核算基本规则》执行，以产品二级组件成本核算为原则，一级组件可满足判定需求的按一级组件核算。</w:t>
      </w:r>
    </w:p>
    <w:p w14:paraId="14FD5527">
      <w:pPr>
        <w:pStyle w:val="18"/>
        <w:spacing w:line="360" w:lineRule="auto"/>
        <w:ind w:left="24" w:right="15" w:firstLine="484" w:firstLineChars="202"/>
        <w:rPr>
          <w:rFonts w:hint="eastAsia"/>
          <w:color w:val="auto"/>
          <w:sz w:val="24"/>
          <w:szCs w:val="24"/>
          <w:highlight w:val="none"/>
          <w:lang w:eastAsia="zh-CN"/>
        </w:rPr>
      </w:pPr>
      <w:r>
        <w:rPr>
          <w:rFonts w:hint="eastAsia"/>
          <w:color w:val="auto"/>
          <w:sz w:val="24"/>
          <w:szCs w:val="24"/>
          <w:highlight w:val="none"/>
          <w:lang w:eastAsia="zh-CN"/>
        </w:rPr>
        <w:t>（5）政府采购活动中既有本国产品又有非本国产品参与竞争的，依法对本国产品给予价格评审优惠，对本国产品的报价给予20%的价格扣除，用扣除后的价格参与评审。</w:t>
      </w:r>
    </w:p>
    <w:p w14:paraId="0D598E5A">
      <w:pPr>
        <w:pStyle w:val="10"/>
        <w:spacing w:before="0" w:beforeAutospacing="0" w:after="0" w:afterAutospacing="0" w:line="360" w:lineRule="auto"/>
        <w:ind w:firstLine="420"/>
        <w:rPr>
          <w:rFonts w:hint="eastAsia"/>
          <w:color w:val="auto"/>
          <w:kern w:val="2"/>
          <w:highlight w:val="none"/>
        </w:rPr>
      </w:pPr>
      <w:r>
        <w:rPr>
          <w:rFonts w:hint="eastAsia"/>
          <w:color w:val="auto"/>
          <w:kern w:val="2"/>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D69E17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（6）对符合本国产品标准的产品/供应商报价执行 20%价格扣除的评审优惠，扣除后的价格作为评审价格参与评审，具体规则如下：</w:t>
      </w:r>
    </w:p>
    <w:p w14:paraId="2B082B98">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①单一产品情形：投标产品为单一产品，且投标人已提交合规《声明函》证明该产品为本国产品的，对该产品的投标报价给予 20%的价格扣除。</w:t>
      </w:r>
    </w:p>
    <w:p w14:paraId="145B4AC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2EDF0F8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③上述产品成本均以投标人投标文件中载明的真实成本数据、采购合同、进货记录等会计核算数据为依据；价格扣除仅用于评审阶段的价格比较，不改变投标人的投标报价及中标后的签约结算价格。</w:t>
      </w:r>
    </w:p>
    <w:p w14:paraId="304FB0A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④中华人民共和国缔结或共同参加的国际条约、协定对政府采购本国产品政策另有规定的，从其规定。</w:t>
      </w:r>
    </w:p>
    <w:p w14:paraId="0297441E">
      <w:pPr>
        <w:numPr>
          <w:ilvl w:val="0"/>
          <w:numId w:val="2"/>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未提供《关于符合本国产品标准的声明函》的不给予价格评审优惠。</w:t>
      </w:r>
    </w:p>
    <w:p w14:paraId="00C6DA5C">
      <w:pPr>
        <w:numPr>
          <w:ilvl w:val="255"/>
          <w:numId w:val="0"/>
        </w:numPr>
        <w:spacing w:line="360" w:lineRule="auto"/>
        <w:ind w:firstLine="480" w:firstLineChars="200"/>
        <w:rPr>
          <w:rFonts w:hint="eastAsia" w:ascii="宋体" w:hAnsi="宋体" w:cs="宋体"/>
          <w:color w:val="auto"/>
          <w:sz w:val="24"/>
          <w:highlight w:val="none"/>
        </w:rPr>
      </w:pPr>
      <w:r>
        <w:rPr>
          <w:rFonts w:hint="eastAsia" w:ascii="宋体" w:hAnsi="宋体" w:cs="宋体" w:eastAsiaTheme="majorEastAsia"/>
          <w:color w:val="auto"/>
          <w:sz w:val="24"/>
          <w:szCs w:val="24"/>
          <w:highlight w:val="none"/>
        </w:rPr>
        <w:t>4、</w:t>
      </w:r>
      <w:r>
        <w:rPr>
          <w:rFonts w:hint="eastAsia" w:ascii="宋体" w:hAnsi="宋体" w:cs="宋体"/>
          <w:color w:val="auto"/>
          <w:sz w:val="24"/>
          <w:szCs w:val="24"/>
          <w:highlight w:val="none"/>
        </w:rPr>
        <w:t>异常低价审查</w:t>
      </w:r>
    </w:p>
    <w:p w14:paraId="6E1056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4.1政府采购评审中出现下列情形之一的，评</w:t>
      </w:r>
      <w:r>
        <w:rPr>
          <w:rFonts w:hint="eastAsia" w:ascii="宋体" w:hAnsi="宋体" w:cs="宋体"/>
          <w:color w:val="auto"/>
          <w:sz w:val="24"/>
          <w:szCs w:val="24"/>
          <w:highlight w:val="none"/>
        </w:rPr>
        <w:t>标</w:t>
      </w:r>
      <w:r>
        <w:rPr>
          <w:rFonts w:hint="eastAsia" w:ascii="宋体" w:hAnsi="宋体" w:cs="宋体"/>
          <w:color w:val="auto"/>
          <w:sz w:val="24"/>
          <w:szCs w:val="24"/>
          <w:highlight w:val="none"/>
        </w:rPr>
        <w:t>委员会应当启动异常低价投标审查程序：</w:t>
      </w:r>
    </w:p>
    <w:p w14:paraId="1E4CD14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（1）投标报价低于全部通过符合性审投标人投标报价平均值50%的，即投标报价＜全部通过符合性审查投标人投标报价平均值×50%</w:t>
      </w:r>
      <w:r>
        <w:rPr>
          <w:rFonts w:hint="eastAsia" w:ascii="宋体" w:hAnsi="宋体" w:cs="宋体"/>
          <w:color w:val="auto"/>
          <w:sz w:val="24"/>
          <w:szCs w:val="24"/>
          <w:highlight w:val="none"/>
        </w:rPr>
        <w:t>；</w:t>
      </w:r>
    </w:p>
    <w:p w14:paraId="6C793B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（2）投标报价低于通过符合性审查的次低报价投标人投标报价50%的，即投标报价＜通过符合性审查的次低报价投标人投标报价×50%</w:t>
      </w:r>
      <w:r>
        <w:rPr>
          <w:rFonts w:hint="eastAsia" w:ascii="宋体" w:hAnsi="宋体" w:cs="宋体"/>
          <w:color w:val="auto"/>
          <w:sz w:val="24"/>
          <w:szCs w:val="24"/>
          <w:highlight w:val="none"/>
        </w:rPr>
        <w:t>；</w:t>
      </w:r>
    </w:p>
    <w:p w14:paraId="736A4A5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（3）投标报价低于采购项目最高限价45%的，即投标报价＜采购项目最高限价×45%</w:t>
      </w:r>
      <w:r>
        <w:rPr>
          <w:rFonts w:hint="eastAsia" w:ascii="宋体" w:hAnsi="宋体" w:cs="宋体"/>
          <w:color w:val="auto"/>
          <w:sz w:val="24"/>
          <w:szCs w:val="24"/>
          <w:highlight w:val="none"/>
        </w:rPr>
        <w:t>；</w:t>
      </w:r>
    </w:p>
    <w:p w14:paraId="71F9D1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szCs w:val="24"/>
          <w:highlight w:val="none"/>
        </w:rPr>
        <w:t>（4）评标委员会基于专业判断，认为投标人报价过低，有可能影响产品质量或者不能诚信履约的其他情形。</w:t>
      </w:r>
    </w:p>
    <w:p w14:paraId="6F237820">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14:paraId="093A9FB3">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评标委员会依据专业经验，参考同类项目中标(成交)价格、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投标供应商不能提供书面说明、证明材料，或者提供的书面说明、证明材料不能证明其报价合理性的，评标委员会应当将其作为无效投标处理。</w:t>
      </w:r>
    </w:p>
    <w:p w14:paraId="49CEF2D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 为 。</w:t>
      </w:r>
    </w:p>
    <w:p w14:paraId="44787F12">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szCs w:val="24"/>
          <w:highlight w:val="none"/>
        </w:rPr>
        <w:t>异常低价投标审查的启动原因、审查意见和审查结果应当在评审报告中记录，并随供应商提供的相关书面说明及证明材料，以及评标委员会有关互联网浏览、查询历史一并归档。</w:t>
      </w:r>
    </w:p>
    <w:p w14:paraId="5960A980">
      <w:pPr>
        <w:tabs>
          <w:tab w:val="left" w:pos="-1080"/>
          <w:tab w:val="left" w:pos="180"/>
          <w:tab w:val="left" w:pos="1080"/>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（四）综合得分= F1+ F2 + F3 。</w:t>
      </w:r>
    </w:p>
    <w:p w14:paraId="1F67CD0D">
      <w:pPr>
        <w:pStyle w:val="6"/>
        <w:spacing w:line="360" w:lineRule="auto"/>
        <w:ind w:firstLine="840"/>
        <w:rPr>
          <w:rFonts w:hint="eastAsia" w:hAnsi="宋体" w:cs="宋体"/>
          <w:bCs/>
          <w:color w:val="auto"/>
          <w:sz w:val="24"/>
          <w:szCs w:val="24"/>
          <w:highlight w:val="none"/>
        </w:rPr>
      </w:pPr>
      <w:r>
        <w:rPr>
          <w:rFonts w:hint="eastAsia" w:hAnsi="宋体" w:cs="宋体"/>
          <w:bCs/>
          <w:color w:val="auto"/>
          <w:sz w:val="24"/>
          <w:szCs w:val="24"/>
          <w:highlight w:val="none"/>
        </w:rPr>
        <w:t>备注：1、技术商务评分中涉及排名情况的评分由评标委员会根据各投标人投标文件的响应情况进行综合评议得出排名。</w:t>
      </w:r>
    </w:p>
    <w:p w14:paraId="6957E730">
      <w:pPr>
        <w:pStyle w:val="6"/>
        <w:spacing w:line="360" w:lineRule="auto"/>
        <w:ind w:firstLine="720" w:firstLineChars="300"/>
        <w:rPr>
          <w:rFonts w:hint="eastAsia" w:hAnsi="宋体" w:cs="宋体"/>
          <w:color w:val="auto"/>
          <w:sz w:val="24"/>
          <w:szCs w:val="24"/>
          <w:highlight w:val="none"/>
        </w:rPr>
      </w:pPr>
      <w:r>
        <w:rPr>
          <w:rFonts w:hint="eastAsia" w:hAnsi="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采购单位验收合格的相关证明文件扫描件，原件备查；如未按招标文件要求提供该项业绩完整资料的，评标委员会对该项业绩将不予采信。</w:t>
      </w:r>
    </w:p>
    <w:p w14:paraId="5277740E">
      <w:pPr>
        <w:spacing w:line="360" w:lineRule="auto"/>
        <w:ind w:firstLine="1600" w:firstLineChars="500"/>
        <w:rPr>
          <w:rFonts w:hint="eastAsia" w:ascii="宋体" w:hAnsi="宋体" w:cs="宋体"/>
          <w:color w:val="auto"/>
          <w:sz w:val="32"/>
          <w:szCs w:val="32"/>
          <w:highlight w:val="none"/>
        </w:rPr>
      </w:pPr>
    </w:p>
    <w:p w14:paraId="0C81B04D">
      <w:pPr>
        <w:spacing w:line="360" w:lineRule="auto"/>
        <w:ind w:firstLine="1600" w:firstLineChars="500"/>
        <w:rPr>
          <w:rFonts w:hint="eastAsia" w:ascii="宋体" w:hAnsi="宋体" w:cs="宋体"/>
          <w:color w:val="auto"/>
          <w:sz w:val="32"/>
          <w:szCs w:val="32"/>
          <w:highlight w:val="none"/>
        </w:rPr>
      </w:pPr>
    </w:p>
    <w:p w14:paraId="1B5F7B65">
      <w:pPr>
        <w:spacing w:line="360" w:lineRule="auto"/>
        <w:ind w:firstLine="1600" w:firstLineChars="500"/>
        <w:rPr>
          <w:rFonts w:hint="eastAsia" w:ascii="宋体" w:hAnsi="宋体" w:cs="宋体"/>
          <w:color w:val="auto"/>
          <w:sz w:val="32"/>
          <w:szCs w:val="32"/>
          <w:highlight w:val="none"/>
        </w:rPr>
      </w:pPr>
    </w:p>
    <w:p w14:paraId="14C1629C">
      <w:pPr>
        <w:spacing w:line="360" w:lineRule="auto"/>
        <w:ind w:firstLine="1600" w:firstLineChars="500"/>
        <w:rPr>
          <w:rFonts w:hint="eastAsia" w:ascii="宋体" w:hAnsi="宋体" w:cs="宋体"/>
          <w:color w:val="auto"/>
          <w:sz w:val="32"/>
          <w:szCs w:val="32"/>
          <w:highlight w:val="none"/>
        </w:rPr>
      </w:pPr>
    </w:p>
    <w:p w14:paraId="7E81AA10">
      <w:pPr>
        <w:spacing w:line="360" w:lineRule="auto"/>
        <w:ind w:firstLine="1600" w:firstLineChars="500"/>
        <w:rPr>
          <w:rFonts w:hint="eastAsia" w:ascii="宋体" w:hAnsi="宋体" w:cs="宋体"/>
          <w:color w:val="auto"/>
          <w:sz w:val="32"/>
          <w:szCs w:val="32"/>
          <w:highlight w:val="none"/>
        </w:rPr>
      </w:pPr>
    </w:p>
    <w:p w14:paraId="14A9DA1A">
      <w:pPr>
        <w:spacing w:line="360" w:lineRule="auto"/>
        <w:ind w:firstLine="1600" w:firstLineChars="500"/>
        <w:rPr>
          <w:rFonts w:hint="eastAsia" w:ascii="宋体" w:hAnsi="宋体" w:cs="宋体"/>
          <w:color w:val="auto"/>
          <w:sz w:val="32"/>
          <w:szCs w:val="32"/>
          <w:highlight w:val="none"/>
        </w:rPr>
        <w:sectPr>
          <w:pgSz w:w="11907" w:h="16840"/>
          <w:pgMar w:top="1440" w:right="1752" w:bottom="1290" w:left="1752" w:header="851" w:footer="992" w:gutter="0"/>
          <w:pgNumType w:start="1"/>
          <w:cols w:space="720" w:num="1"/>
          <w:docGrid w:linePitch="323" w:charSpace="-2"/>
        </w:sectPr>
      </w:pPr>
    </w:p>
    <w:p w14:paraId="2A71DA20">
      <w:pPr>
        <w:spacing w:line="360" w:lineRule="auto"/>
        <w:ind w:firstLine="1606" w:firstLineChars="500"/>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投标人须知前附表4：中小企业优惠办法</w:t>
      </w:r>
    </w:p>
    <w:tbl>
      <w:tblPr>
        <w:tblStyle w:val="1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4DF4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vAlign w:val="center"/>
          </w:tcPr>
          <w:p w14:paraId="3CE15F16">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序号</w:t>
            </w:r>
          </w:p>
        </w:tc>
        <w:tc>
          <w:tcPr>
            <w:tcW w:w="1677" w:type="dxa"/>
            <w:vAlign w:val="center"/>
          </w:tcPr>
          <w:p w14:paraId="1DDE3793">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项目</w:t>
            </w:r>
          </w:p>
        </w:tc>
        <w:tc>
          <w:tcPr>
            <w:tcW w:w="6063" w:type="dxa"/>
            <w:vAlign w:val="center"/>
          </w:tcPr>
          <w:p w14:paraId="16AF73F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39F2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vAlign w:val="center"/>
          </w:tcPr>
          <w:p w14:paraId="07DD3275">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1</w:t>
            </w:r>
          </w:p>
        </w:tc>
        <w:tc>
          <w:tcPr>
            <w:tcW w:w="1677" w:type="dxa"/>
            <w:vAlign w:val="center"/>
          </w:tcPr>
          <w:p w14:paraId="19CD58CC">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本项目是否属于预留份额专门面向中小企业采购活动：</w:t>
            </w:r>
          </w:p>
        </w:tc>
        <w:tc>
          <w:tcPr>
            <w:tcW w:w="6063" w:type="dxa"/>
            <w:vAlign w:val="center"/>
          </w:tcPr>
          <w:p w14:paraId="0436263E">
            <w:pPr>
              <w:spacing w:line="360" w:lineRule="auto"/>
              <w:rPr>
                <w:rFonts w:hint="eastAsia" w:ascii="宋体" w:hAnsi="宋体" w:cs="宋体"/>
                <w:color w:val="auto"/>
                <w:sz w:val="24"/>
                <w:szCs w:val="24"/>
                <w:highlight w:val="none"/>
              </w:rPr>
            </w:pPr>
            <w:r>
              <w:rPr>
                <w:rFonts w:hint="eastAsia" w:ascii="宋体" w:hAnsi="宋体" w:cs="宋体"/>
                <w:b/>
                <w:color w:val="auto"/>
                <w:sz w:val="24"/>
                <w:szCs w:val="24"/>
                <w:highlight w:val="none"/>
              </w:rPr>
              <w:t>□</w:t>
            </w:r>
            <w:r>
              <w:rPr>
                <w:rFonts w:hint="eastAsia" w:ascii="宋体" w:hAnsi="宋体" w:cs="宋体"/>
                <w:color w:val="auto"/>
                <w:sz w:val="24"/>
                <w:szCs w:val="24"/>
                <w:highlight w:val="none"/>
              </w:rPr>
              <w:t xml:space="preserve">是/ </w:t>
            </w: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否</w:t>
            </w:r>
          </w:p>
        </w:tc>
      </w:tr>
      <w:tr w14:paraId="74B9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vAlign w:val="center"/>
          </w:tcPr>
          <w:p w14:paraId="5C661F15">
            <w:pPr>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2</w:t>
            </w:r>
          </w:p>
        </w:tc>
        <w:tc>
          <w:tcPr>
            <w:tcW w:w="1677" w:type="dxa"/>
            <w:vAlign w:val="center"/>
          </w:tcPr>
          <w:p w14:paraId="6A85C293">
            <w:pPr>
              <w:spacing w:line="360" w:lineRule="auto"/>
              <w:jc w:val="center"/>
              <w:rPr>
                <w:rFonts w:hint="eastAsia" w:ascii="宋体" w:hAnsi="宋体" w:cs="宋体"/>
                <w:color w:val="auto"/>
                <w:sz w:val="24"/>
                <w:szCs w:val="24"/>
                <w:highlight w:val="none"/>
              </w:rPr>
            </w:pPr>
            <w:r>
              <w:rPr>
                <w:rFonts w:hint="eastAsia" w:ascii="宋体" w:hAnsi="宋体" w:cs="宋体"/>
                <w:b/>
                <w:color w:val="auto"/>
                <w:sz w:val="24"/>
                <w:szCs w:val="24"/>
                <w:highlight w:val="none"/>
              </w:rPr>
              <w:t>中小企业的认定标准</w:t>
            </w:r>
          </w:p>
        </w:tc>
        <w:tc>
          <w:tcPr>
            <w:tcW w:w="6063" w:type="dxa"/>
          </w:tcPr>
          <w:p w14:paraId="2411742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中小企业参加政府采购活动，应当出具《中小企业声明函》，否则不得享受相关中小企业扶持政策。</w:t>
            </w:r>
          </w:p>
          <w:p w14:paraId="72EFFCED">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须满足以下条件，才能认定为中小企业</w:t>
            </w:r>
            <w:r>
              <w:rPr>
                <w:rFonts w:hint="eastAsia" w:ascii="宋体" w:hAnsi="宋体" w:cs="宋体"/>
                <w:b/>
                <w:color w:val="auto"/>
                <w:sz w:val="24"/>
                <w:szCs w:val="24"/>
                <w:highlight w:val="none"/>
              </w:rPr>
              <w:t>（含中型、小型、微型企业，下同）</w:t>
            </w:r>
            <w:r>
              <w:rPr>
                <w:rFonts w:hint="eastAsia" w:ascii="宋体" w:hAnsi="宋体" w:cs="宋体"/>
                <w:color w:val="auto"/>
                <w:sz w:val="24"/>
                <w:szCs w:val="24"/>
                <w:highlight w:val="none"/>
              </w:rPr>
              <w:t>：</w:t>
            </w:r>
          </w:p>
          <w:p w14:paraId="2BF024B1">
            <w:pPr>
              <w:spacing w:line="360" w:lineRule="auto"/>
              <w:ind w:firstLine="480" w:firstLineChars="200"/>
              <w:rPr>
                <w:rFonts w:hint="eastAsia" w:ascii="宋体" w:hAnsi="宋体" w:cs="宋体"/>
                <w:color w:val="auto"/>
                <w:sz w:val="24"/>
                <w:szCs w:val="24"/>
                <w:highlight w:val="none"/>
              </w:rPr>
            </w:pPr>
            <w:r>
              <w:rPr>
                <w:rFonts w:hint="eastAsia" w:ascii="宋体" w:hAnsi="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08D2E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vAlign w:val="center"/>
          </w:tcPr>
          <w:p w14:paraId="723DBB69">
            <w:pPr>
              <w:widowControl/>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3</w:t>
            </w:r>
          </w:p>
        </w:tc>
        <w:tc>
          <w:tcPr>
            <w:tcW w:w="1677" w:type="dxa"/>
            <w:vAlign w:val="center"/>
          </w:tcPr>
          <w:p w14:paraId="71816DF4">
            <w:pPr>
              <w:widowControl/>
              <w:spacing w:line="360" w:lineRule="auto"/>
              <w:ind w:left="-65" w:leftChars="-31" w:firstLine="475" w:firstLineChars="205"/>
              <w:jc w:val="left"/>
              <w:rPr>
                <w:rFonts w:hint="eastAsia" w:ascii="宋体" w:hAnsi="宋体" w:cs="宋体"/>
                <w:b w:val="0"/>
                <w:color w:val="auto"/>
                <w:spacing w:val="-4"/>
                <w:sz w:val="24"/>
                <w:szCs w:val="24"/>
                <w:highlight w:val="none"/>
              </w:rPr>
            </w:pPr>
            <w:r>
              <w:rPr>
                <w:rFonts w:hint="eastAsia" w:ascii="宋体" w:hAnsi="宋体" w:cs="宋体"/>
                <w:b w:val="0"/>
                <w:color w:val="auto"/>
                <w:spacing w:val="-4"/>
                <w:sz w:val="24"/>
                <w:szCs w:val="24"/>
                <w:highlight w:val="none"/>
              </w:rPr>
              <w:t>优惠办法：</w:t>
            </w:r>
          </w:p>
        </w:tc>
        <w:tc>
          <w:tcPr>
            <w:tcW w:w="6063" w:type="dxa"/>
            <w:tcBorders>
              <w:bottom w:val="single" w:color="auto" w:sz="4" w:space="0"/>
            </w:tcBorders>
          </w:tcPr>
          <w:p w14:paraId="1C5B73ED">
            <w:pPr>
              <w:spacing w:line="360" w:lineRule="auto"/>
              <w:ind w:left="-65" w:leftChars="-31" w:firstLine="475" w:firstLineChars="205"/>
              <w:rPr>
                <w:rFonts w:hint="eastAsia" w:ascii="宋体" w:hAnsi="宋体" w:cs="宋体"/>
                <w:b w:val="0"/>
                <w:color w:val="auto"/>
                <w:spacing w:val="-4"/>
                <w:sz w:val="24"/>
                <w:szCs w:val="24"/>
                <w:highlight w:val="none"/>
              </w:rPr>
            </w:pPr>
            <w:r>
              <w:rPr>
                <w:rFonts w:hint="eastAsia" w:ascii="宋体" w:hAnsi="宋体" w:cs="宋体"/>
                <w:b w:val="0"/>
                <w:color w:val="auto"/>
                <w:spacing w:val="-4"/>
                <w:sz w:val="24"/>
                <w:szCs w:val="24"/>
                <w:highlight w:val="none"/>
              </w:rPr>
              <w:t>投标产品为中小企业（含中型、小型、微型企业，下同）生产：</w:t>
            </w:r>
          </w:p>
          <w:p w14:paraId="770291A8">
            <w:pPr>
              <w:spacing w:line="360" w:lineRule="auto"/>
              <w:ind w:left="-65" w:leftChars="-31" w:firstLine="475" w:firstLineChars="205"/>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①投标保证金：全免</w:t>
            </w:r>
          </w:p>
          <w:p w14:paraId="032733C3">
            <w:pPr>
              <w:spacing w:line="360" w:lineRule="auto"/>
              <w:ind w:left="-65" w:leftChars="-31" w:firstLine="475" w:firstLineChars="205"/>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②履约保证金：按约定比例的50%支付（如果有的话）</w:t>
            </w:r>
          </w:p>
          <w:p w14:paraId="620B5D74">
            <w:pPr>
              <w:spacing w:line="360" w:lineRule="auto"/>
              <w:ind w:left="-65" w:leftChars="-31" w:firstLine="475" w:firstLineChars="205"/>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③代理服务费：按招标文件规定的收费标准下调10%</w:t>
            </w:r>
          </w:p>
          <w:p w14:paraId="0AA3720E">
            <w:pPr>
              <w:spacing w:line="360" w:lineRule="auto"/>
              <w:ind w:left="-65" w:leftChars="-31" w:firstLine="475" w:firstLineChars="205"/>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④缩短付款时间</w:t>
            </w:r>
          </w:p>
          <w:p w14:paraId="0D29BB23">
            <w:pPr>
              <w:spacing w:line="360" w:lineRule="auto"/>
              <w:ind w:left="-65" w:leftChars="-31" w:firstLine="475" w:firstLineChars="205"/>
              <w:rPr>
                <w:rFonts w:hint="eastAsia" w:ascii="宋体" w:hAnsi="宋体" w:cs="宋体"/>
                <w:b w:val="0"/>
                <w:color w:val="auto"/>
                <w:spacing w:val="-4"/>
                <w:sz w:val="24"/>
                <w:szCs w:val="24"/>
                <w:highlight w:val="none"/>
              </w:rPr>
            </w:pPr>
          </w:p>
          <w:p w14:paraId="47311D36">
            <w:pPr>
              <w:spacing w:line="360" w:lineRule="auto"/>
              <w:ind w:left="-65" w:leftChars="-31" w:firstLine="475" w:firstLineChars="205"/>
              <w:rPr>
                <w:rFonts w:hint="eastAsia" w:ascii="宋体" w:hAnsi="宋体" w:cs="宋体"/>
                <w:b w:val="0"/>
                <w:color w:val="auto"/>
                <w:spacing w:val="-4"/>
                <w:sz w:val="24"/>
                <w:szCs w:val="24"/>
                <w:highlight w:val="none"/>
              </w:rPr>
            </w:pPr>
            <w:r>
              <w:rPr>
                <w:rFonts w:hint="eastAsia" w:ascii="宋体" w:hAnsi="宋体" w:cs="宋体"/>
                <w:b w:val="0"/>
                <w:color w:val="auto"/>
                <w:spacing w:val="-4"/>
                <w:sz w:val="24"/>
                <w:szCs w:val="24"/>
                <w:highlight w:val="none"/>
              </w:rPr>
              <w:t>投标产品为小型企业或微型企业生产：</w:t>
            </w:r>
          </w:p>
          <w:p w14:paraId="20E8E0DB">
            <w:pPr>
              <w:spacing w:line="360" w:lineRule="auto"/>
              <w:ind w:left="-65" w:leftChars="-31" w:firstLine="475" w:firstLineChars="205"/>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投标人提供的货物既有中型企业制造，也有小微企业制造的，不享受办法规定的小微企业扶持政策。</w:t>
            </w:r>
          </w:p>
          <w:p w14:paraId="6BE40F81">
            <w:pPr>
              <w:spacing w:line="360" w:lineRule="auto"/>
              <w:ind w:left="-65" w:leftChars="-31" w:firstLine="475" w:firstLineChars="205"/>
              <w:rPr>
                <w:rFonts w:hint="eastAsia" w:ascii="宋体" w:hAnsi="宋体" w:cs="宋体"/>
                <w:color w:val="auto"/>
                <w:spacing w:val="-4"/>
                <w:sz w:val="24"/>
                <w:szCs w:val="24"/>
                <w:highlight w:val="none"/>
              </w:rPr>
            </w:pPr>
            <w:r>
              <w:rPr>
                <w:rFonts w:ascii="宋体" w:hAnsi="宋体" w:cs="宋体"/>
                <w:color w:val="auto"/>
                <w:spacing w:val="-4"/>
                <w:sz w:val="24"/>
                <w:szCs w:val="24"/>
                <w:highlight w:val="none"/>
              </w:rPr>
              <w:t>对其提供的小型或微型企业产品的投标报价给予</w:t>
            </w:r>
            <w:r>
              <w:rPr>
                <w:rFonts w:hint="eastAsia" w:ascii="宋体" w:hAnsi="宋体" w:cs="宋体"/>
                <w:color w:val="auto"/>
                <w:spacing w:val="-4"/>
                <w:sz w:val="24"/>
                <w:szCs w:val="24"/>
                <w:highlight w:val="none"/>
              </w:rPr>
              <w:t>15</w:t>
            </w:r>
            <w:r>
              <w:rPr>
                <w:rFonts w:ascii="宋体" w:hAnsi="宋体" w:cs="宋体"/>
                <w:color w:val="auto"/>
                <w:spacing w:val="-4"/>
                <w:sz w:val="24"/>
                <w:szCs w:val="24"/>
                <w:highlight w:val="none"/>
              </w:rPr>
              <w:t>%的扣除，扣除后的价格作为该投标人的评标价参与价格评分。</w:t>
            </w:r>
          </w:p>
          <w:p w14:paraId="0FA45256">
            <w:pPr>
              <w:spacing w:line="360" w:lineRule="auto"/>
              <w:ind w:left="-65" w:leftChars="-31" w:firstLine="475" w:firstLineChars="205"/>
              <w:rPr>
                <w:rFonts w:hint="eastAsia" w:ascii="宋体" w:hAnsi="宋体" w:cs="宋体"/>
                <w:color w:val="auto"/>
                <w:spacing w:val="-4"/>
                <w:sz w:val="24"/>
                <w:szCs w:val="24"/>
                <w:highlight w:val="none"/>
              </w:rPr>
            </w:pPr>
            <w:r>
              <w:rPr>
                <w:rFonts w:ascii="宋体" w:hAnsi="宋体" w:cs="宋体"/>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1F8F1079">
            <w:pPr>
              <w:spacing w:line="360" w:lineRule="auto"/>
              <w:ind w:left="-65" w:leftChars="-31" w:firstLine="475" w:firstLineChars="205"/>
              <w:rPr>
                <w:rFonts w:hint="eastAsia" w:ascii="宋体" w:hAnsi="宋体" w:cs="宋体"/>
                <w:color w:val="auto"/>
                <w:spacing w:val="-4"/>
                <w:sz w:val="24"/>
                <w:szCs w:val="24"/>
                <w:highlight w:val="none"/>
              </w:rPr>
            </w:pPr>
            <w:r>
              <w:rPr>
                <w:rFonts w:ascii="宋体" w:hAnsi="宋体" w:cs="宋体"/>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033E3C79">
            <w:pPr>
              <w:spacing w:line="360" w:lineRule="auto"/>
              <w:ind w:left="-65" w:leftChars="-31" w:firstLine="475" w:firstLineChars="205"/>
              <w:rPr>
                <w:rFonts w:hint="eastAsia" w:ascii="宋体" w:hAnsi="宋体" w:cs="宋体"/>
                <w:b w:val="0"/>
                <w:color w:val="auto"/>
                <w:spacing w:val="-4"/>
                <w:sz w:val="24"/>
                <w:szCs w:val="24"/>
                <w:highlight w:val="none"/>
              </w:rPr>
            </w:pPr>
            <w:r>
              <w:rPr>
                <w:rFonts w:ascii="宋体" w:hAnsi="宋体" w:cs="宋体"/>
                <w:color w:val="auto"/>
                <w:spacing w:val="-4"/>
                <w:sz w:val="24"/>
                <w:szCs w:val="24"/>
                <w:highlight w:val="none"/>
              </w:rPr>
              <w:t>若本项目属于预留份额专门面向中小企业采购活动，不再执行价格评审优惠的扶持政策。</w:t>
            </w:r>
          </w:p>
          <w:p w14:paraId="7DA9872C">
            <w:pPr>
              <w:spacing w:line="360" w:lineRule="auto"/>
              <w:ind w:left="-65" w:leftChars="-31" w:firstLine="475" w:firstLineChars="205"/>
              <w:rPr>
                <w:rFonts w:hint="eastAsia" w:hAnsi="宋体" w:cs="宋体"/>
                <w:color w:val="auto"/>
                <w:spacing w:val="-4"/>
                <w:sz w:val="24"/>
                <w:szCs w:val="24"/>
                <w:highlight w:val="none"/>
              </w:rPr>
            </w:pPr>
          </w:p>
        </w:tc>
      </w:tr>
      <w:tr w14:paraId="79BA6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752E7F14">
            <w:pPr>
              <w:widowControl/>
              <w:spacing w:line="360" w:lineRule="auto"/>
              <w:jc w:val="center"/>
              <w:rPr>
                <w:rFonts w:hint="eastAsia" w:ascii="宋体" w:hAnsi="宋体" w:cs="宋体"/>
                <w:b/>
                <w:dstrike/>
                <w:color w:val="auto"/>
                <w:sz w:val="24"/>
                <w:szCs w:val="24"/>
                <w:highlight w:val="none"/>
              </w:rPr>
            </w:pPr>
            <w:r>
              <w:rPr>
                <w:rFonts w:hint="eastAsia" w:ascii="宋体" w:hAnsi="宋体" w:cs="宋体"/>
                <w:b/>
                <w:color w:val="auto"/>
                <w:sz w:val="24"/>
                <w:szCs w:val="24"/>
                <w:highlight w:val="none"/>
              </w:rPr>
              <w:t>4</w:t>
            </w:r>
          </w:p>
        </w:tc>
        <w:tc>
          <w:tcPr>
            <w:tcW w:w="1677" w:type="dxa"/>
            <w:vAlign w:val="center"/>
          </w:tcPr>
          <w:p w14:paraId="1C59439E">
            <w:pPr>
              <w:pStyle w:val="10"/>
              <w:spacing w:before="0" w:beforeAutospacing="0" w:after="0" w:afterAutospacing="0" w:line="360" w:lineRule="auto"/>
              <w:rPr>
                <w:rFonts w:hint="eastAsia"/>
                <w:color w:val="auto"/>
                <w:highlight w:val="none"/>
              </w:rPr>
            </w:pPr>
            <w:r>
              <w:rPr>
                <w:rFonts w:hint="eastAsia"/>
                <w:color w:val="auto"/>
                <w:highlight w:val="none"/>
              </w:rPr>
              <w:t>本项目对应的中小企业划分标准所属</w:t>
            </w:r>
            <w:r>
              <w:rPr>
                <w:rFonts w:hint="eastAsia"/>
                <w:color w:val="auto"/>
                <w:highlight w:val="none"/>
                <w:u w:val="single"/>
              </w:rPr>
              <w:t>工业行业。</w:t>
            </w:r>
          </w:p>
        </w:tc>
        <w:tc>
          <w:tcPr>
            <w:tcW w:w="6063" w:type="dxa"/>
            <w:tcBorders>
              <w:bottom w:val="single" w:color="auto" w:sz="4" w:space="0"/>
            </w:tcBorders>
          </w:tcPr>
          <w:p w14:paraId="6F6A749B">
            <w:pPr>
              <w:spacing w:line="360" w:lineRule="auto"/>
              <w:rPr>
                <w:rFonts w:hint="eastAsia" w:ascii="宋体" w:hAnsi="宋体" w:cs="宋体"/>
                <w:dstrike/>
                <w:color w:val="auto"/>
                <w:sz w:val="24"/>
                <w:szCs w:val="24"/>
                <w:highlight w:val="none"/>
                <w:u w:val="single"/>
              </w:rPr>
            </w:pPr>
            <w:r>
              <w:rPr>
                <w:rFonts w:hint="eastAsia" w:ascii="宋体" w:hAnsi="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租赁和商务服务业和其他未列明行业等十六类。</w:t>
            </w:r>
          </w:p>
        </w:tc>
      </w:tr>
      <w:tr w14:paraId="29EA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5890361D">
            <w:pPr>
              <w:widowControl/>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5</w:t>
            </w:r>
          </w:p>
        </w:tc>
        <w:tc>
          <w:tcPr>
            <w:tcW w:w="1677" w:type="dxa"/>
            <w:vAlign w:val="center"/>
          </w:tcPr>
          <w:p w14:paraId="25CDC239">
            <w:pPr>
              <w:widowControl/>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相关风险</w:t>
            </w:r>
          </w:p>
        </w:tc>
        <w:tc>
          <w:tcPr>
            <w:tcW w:w="6063" w:type="dxa"/>
            <w:tcBorders>
              <w:bottom w:val="single" w:color="auto" w:sz="4" w:space="0"/>
            </w:tcBorders>
          </w:tcPr>
          <w:p w14:paraId="50DF691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一、经评标委员会评审，存在下列任一情况的，投标人将不被视为中小企业：</w:t>
            </w:r>
          </w:p>
          <w:p w14:paraId="17CD631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1.投标货物全部或部分为使用大型企业注册商标的货物的；</w:t>
            </w:r>
          </w:p>
          <w:p w14:paraId="2312387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2.投标文件中标明的中小企业产品的制造商不符合“工信部联企业[2011]300号”规定的中小企业标准的；</w:t>
            </w:r>
          </w:p>
          <w:p w14:paraId="7F755953">
            <w:pPr>
              <w:spacing w:line="360" w:lineRule="auto"/>
              <w:ind w:firstLine="482" w:firstLineChars="200"/>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二、提供虚假声明后果：</w:t>
            </w:r>
          </w:p>
          <w:p w14:paraId="3D305A12">
            <w:pPr>
              <w:widowControl/>
              <w:spacing w:line="360" w:lineRule="auto"/>
              <w:rPr>
                <w:rFonts w:hint="eastAsia" w:ascii="宋体" w:hAnsi="宋体" w:cs="宋体"/>
                <w:b/>
                <w:i/>
                <w:color w:val="auto"/>
                <w:kern w:val="0"/>
                <w:sz w:val="24"/>
                <w:szCs w:val="24"/>
                <w:highlight w:val="none"/>
                <w:u w:val="single"/>
              </w:rPr>
            </w:pPr>
            <w:r>
              <w:rPr>
                <w:rFonts w:hint="eastAsia" w:ascii="宋体" w:hAnsi="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单位、招标代理机构将有关情况上报政府采购监管部门，由监管部门按有关规定对其进行相应处罚。采购单位、招标代理机构</w:t>
            </w:r>
            <w:r>
              <w:rPr>
                <w:rFonts w:hint="eastAsia" w:ascii="宋体" w:hAnsi="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77372CE9">
      <w:pPr>
        <w:spacing w:line="360" w:lineRule="auto"/>
        <w:ind w:firstLine="482" w:firstLineChars="200"/>
        <w:rPr>
          <w:rFonts w:hint="eastAsia" w:ascii="宋体" w:hAnsi="宋体" w:cs="宋体"/>
          <w:b/>
          <w:bCs/>
          <w:color w:val="auto"/>
          <w:sz w:val="24"/>
          <w:szCs w:val="24"/>
          <w:highlight w:val="none"/>
        </w:rPr>
        <w:sectPr>
          <w:pgSz w:w="11907" w:h="16840"/>
          <w:pgMar w:top="1440" w:right="1752" w:bottom="1290" w:left="1752" w:header="851" w:footer="992" w:gutter="0"/>
          <w:pgNumType w:start="1"/>
          <w:cols w:space="720" w:num="1"/>
          <w:docGrid w:linePitch="323" w:charSpace="-2"/>
        </w:sectPr>
      </w:pPr>
    </w:p>
    <w:p w14:paraId="18AA07C4">
      <w:pPr>
        <w:pStyle w:val="3"/>
        <w:snapToGrid w:val="0"/>
        <w:spacing w:line="360" w:lineRule="auto"/>
        <w:ind w:firstLine="0"/>
        <w:jc w:val="center"/>
        <w:rPr>
          <w:rFonts w:hint="eastAsia" w:ascii="宋体" w:hAnsi="宋体" w:cs="宋体"/>
          <w:b/>
          <w:bCs/>
          <w:color w:val="auto"/>
          <w:sz w:val="32"/>
          <w:szCs w:val="32"/>
          <w:highlight w:val="none"/>
        </w:rPr>
      </w:pPr>
      <w:r>
        <w:rPr>
          <w:rFonts w:hint="eastAsia" w:ascii="宋体" w:hAnsi="宋体" w:cs="宋体"/>
          <w:b/>
          <w:color w:val="auto"/>
          <w:sz w:val="32"/>
          <w:szCs w:val="32"/>
          <w:highlight w:val="none"/>
        </w:rPr>
        <w:t xml:space="preserve">第三章  </w:t>
      </w:r>
      <w:r>
        <w:rPr>
          <w:rFonts w:hint="eastAsia" w:ascii="宋体" w:hAnsi="宋体" w:cs="宋体"/>
          <w:b/>
          <w:bCs/>
          <w:color w:val="auto"/>
          <w:sz w:val="32"/>
          <w:szCs w:val="32"/>
          <w:highlight w:val="none"/>
        </w:rPr>
        <w:t>招标内容及要求</w:t>
      </w:r>
    </w:p>
    <w:p w14:paraId="69E4EA32">
      <w:pPr>
        <w:pStyle w:val="7"/>
        <w:spacing w:after="0" w:line="360" w:lineRule="auto"/>
        <w:ind w:left="181" w:leftChars="86" w:right="-334" w:rightChars="-159"/>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提示说明：</w:t>
      </w:r>
    </w:p>
    <w:p w14:paraId="1514FE61">
      <w:pPr>
        <w:pStyle w:val="7"/>
        <w:spacing w:after="0" w:line="360" w:lineRule="auto"/>
        <w:ind w:left="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cs="宋体"/>
          <w:b/>
          <w:color w:val="auto"/>
          <w:sz w:val="24"/>
          <w:szCs w:val="24"/>
          <w:highlight w:val="none"/>
        </w:rPr>
        <w:t>投标人应对招标文件中的“*”号条款进行逐条响应，否则评标委员会对其投标做出不利评审，投标人必须自行承担责任。</w:t>
      </w:r>
    </w:p>
    <w:p w14:paraId="00A8EB97">
      <w:pPr>
        <w:pStyle w:val="7"/>
        <w:spacing w:after="0" w:line="360" w:lineRule="auto"/>
        <w:ind w:left="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7E3053FC">
      <w:pPr>
        <w:pStyle w:val="7"/>
        <w:spacing w:after="0" w:line="360" w:lineRule="auto"/>
        <w:ind w:left="0" w:right="-334" w:rightChars="-159"/>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2AAE4041">
      <w:pPr>
        <w:pStyle w:val="7"/>
        <w:spacing w:after="0" w:line="360" w:lineRule="auto"/>
        <w:ind w:left="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（4）经评标委员会认定要求澄清的证明文件必须在规定的时间内提供，否则其将不具有中标供应商的资格。</w:t>
      </w:r>
    </w:p>
    <w:p w14:paraId="266362FE">
      <w:pPr>
        <w:pStyle w:val="7"/>
        <w:spacing w:after="0" w:line="360" w:lineRule="auto"/>
        <w:ind w:left="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（5）本项目实行网上发售招标文件的方式，招标文件的正式文本以厦门招投标网上下载的内容为准。</w:t>
      </w:r>
    </w:p>
    <w:p w14:paraId="2ECEFBD6">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（6）资格性证明文件请单独成册。</w:t>
      </w:r>
    </w:p>
    <w:p w14:paraId="52339107">
      <w:pPr>
        <w:tabs>
          <w:tab w:val="left" w:pos="5130"/>
        </w:tabs>
        <w:spacing w:line="360" w:lineRule="auto"/>
        <w:ind w:firstLine="480" w:firstLineChars="200"/>
        <w:rPr>
          <w:rFonts w:hint="eastAsia" w:ascii="宋体" w:hAnsi="宋体" w:cs="宋体"/>
          <w:color w:val="auto"/>
          <w:sz w:val="24"/>
          <w:szCs w:val="24"/>
          <w:highlight w:val="none"/>
        </w:rPr>
      </w:pPr>
    </w:p>
    <w:p w14:paraId="58B9875B">
      <w:pPr>
        <w:tabs>
          <w:tab w:val="left" w:pos="5130"/>
        </w:tabs>
        <w:spacing w:line="360" w:lineRule="auto"/>
        <w:ind w:firstLine="480" w:firstLineChars="200"/>
        <w:rPr>
          <w:rFonts w:hint="eastAsia" w:ascii="宋体" w:hAnsi="宋体" w:cs="宋体"/>
          <w:color w:val="auto"/>
          <w:sz w:val="24"/>
          <w:szCs w:val="24"/>
          <w:highlight w:val="none"/>
        </w:rPr>
      </w:pPr>
    </w:p>
    <w:p w14:paraId="7E0AC55E">
      <w:pPr>
        <w:tabs>
          <w:tab w:val="left" w:pos="5130"/>
        </w:tabs>
        <w:spacing w:line="360" w:lineRule="auto"/>
        <w:ind w:firstLine="480" w:firstLineChars="200"/>
        <w:rPr>
          <w:rFonts w:hint="eastAsia" w:ascii="宋体" w:hAnsi="宋体" w:cs="宋体"/>
          <w:color w:val="auto"/>
          <w:sz w:val="24"/>
          <w:szCs w:val="24"/>
          <w:highlight w:val="none"/>
        </w:rPr>
      </w:pPr>
    </w:p>
    <w:p w14:paraId="7893893F">
      <w:pPr>
        <w:tabs>
          <w:tab w:val="left" w:pos="5130"/>
        </w:tabs>
        <w:spacing w:line="360" w:lineRule="auto"/>
        <w:ind w:firstLine="480" w:firstLineChars="200"/>
        <w:rPr>
          <w:rFonts w:hint="eastAsia" w:ascii="宋体" w:hAnsi="宋体" w:cs="宋体"/>
          <w:color w:val="auto"/>
          <w:sz w:val="24"/>
          <w:szCs w:val="24"/>
          <w:highlight w:val="none"/>
        </w:rPr>
      </w:pPr>
    </w:p>
    <w:p w14:paraId="681EDEB2">
      <w:pPr>
        <w:tabs>
          <w:tab w:val="left" w:pos="5130"/>
        </w:tabs>
        <w:spacing w:line="360" w:lineRule="auto"/>
        <w:ind w:firstLine="480" w:firstLineChars="200"/>
        <w:rPr>
          <w:rFonts w:hint="eastAsia" w:ascii="宋体" w:hAnsi="宋体" w:cs="宋体"/>
          <w:color w:val="auto"/>
          <w:sz w:val="24"/>
          <w:szCs w:val="24"/>
          <w:highlight w:val="none"/>
        </w:rPr>
      </w:pPr>
    </w:p>
    <w:p w14:paraId="3D16EBC1">
      <w:pPr>
        <w:tabs>
          <w:tab w:val="left" w:pos="5130"/>
        </w:tabs>
        <w:spacing w:line="360" w:lineRule="auto"/>
        <w:ind w:firstLine="480" w:firstLineChars="200"/>
        <w:rPr>
          <w:rFonts w:hint="eastAsia" w:ascii="宋体" w:hAnsi="宋体" w:cs="宋体"/>
          <w:color w:val="auto"/>
          <w:sz w:val="24"/>
          <w:szCs w:val="24"/>
          <w:highlight w:val="none"/>
        </w:rPr>
      </w:pPr>
    </w:p>
    <w:p w14:paraId="49731A59">
      <w:pPr>
        <w:tabs>
          <w:tab w:val="left" w:pos="5130"/>
        </w:tabs>
        <w:spacing w:line="360" w:lineRule="auto"/>
        <w:ind w:firstLine="480" w:firstLineChars="200"/>
        <w:rPr>
          <w:rFonts w:hint="eastAsia" w:ascii="宋体" w:hAnsi="宋体" w:cs="宋体"/>
          <w:color w:val="auto"/>
          <w:sz w:val="24"/>
          <w:szCs w:val="24"/>
          <w:highlight w:val="none"/>
        </w:rPr>
      </w:pPr>
    </w:p>
    <w:p w14:paraId="0FDD0D67">
      <w:pPr>
        <w:tabs>
          <w:tab w:val="left" w:pos="5130"/>
        </w:tabs>
        <w:spacing w:line="360" w:lineRule="auto"/>
        <w:ind w:firstLine="480" w:firstLineChars="200"/>
        <w:rPr>
          <w:rFonts w:hint="eastAsia" w:ascii="宋体" w:hAnsi="宋体" w:cs="宋体"/>
          <w:color w:val="auto"/>
          <w:sz w:val="24"/>
          <w:szCs w:val="24"/>
          <w:highlight w:val="none"/>
        </w:rPr>
      </w:pPr>
    </w:p>
    <w:p w14:paraId="4C235301">
      <w:pPr>
        <w:tabs>
          <w:tab w:val="left" w:pos="5130"/>
        </w:tabs>
        <w:spacing w:line="360" w:lineRule="auto"/>
        <w:ind w:firstLine="480" w:firstLineChars="200"/>
        <w:rPr>
          <w:rFonts w:hint="eastAsia" w:ascii="宋体" w:hAnsi="宋体" w:cs="宋体"/>
          <w:color w:val="auto"/>
          <w:sz w:val="24"/>
          <w:szCs w:val="24"/>
          <w:highlight w:val="none"/>
        </w:rPr>
      </w:pPr>
    </w:p>
    <w:p w14:paraId="27A62FB6">
      <w:pPr>
        <w:tabs>
          <w:tab w:val="left" w:pos="5130"/>
        </w:tabs>
        <w:spacing w:line="360" w:lineRule="auto"/>
        <w:ind w:firstLine="480" w:firstLineChars="200"/>
        <w:rPr>
          <w:rFonts w:hint="eastAsia" w:ascii="宋体" w:hAnsi="宋体" w:cs="宋体"/>
          <w:color w:val="auto"/>
          <w:sz w:val="24"/>
          <w:szCs w:val="24"/>
          <w:highlight w:val="none"/>
        </w:rPr>
      </w:pPr>
    </w:p>
    <w:p w14:paraId="57DA289D">
      <w:pPr>
        <w:tabs>
          <w:tab w:val="left" w:pos="5130"/>
        </w:tabs>
        <w:spacing w:line="360" w:lineRule="auto"/>
        <w:ind w:firstLine="480" w:firstLineChars="200"/>
        <w:rPr>
          <w:rFonts w:hint="eastAsia" w:ascii="宋体" w:hAnsi="宋体" w:cs="宋体"/>
          <w:color w:val="auto"/>
          <w:sz w:val="24"/>
          <w:szCs w:val="24"/>
          <w:highlight w:val="none"/>
        </w:rPr>
      </w:pPr>
    </w:p>
    <w:p w14:paraId="7F43D38E">
      <w:pPr>
        <w:tabs>
          <w:tab w:val="left" w:pos="5130"/>
        </w:tabs>
        <w:spacing w:line="360" w:lineRule="auto"/>
        <w:ind w:firstLine="480" w:firstLineChars="200"/>
        <w:rPr>
          <w:rFonts w:hint="eastAsia" w:ascii="宋体" w:hAnsi="宋体" w:cs="宋体"/>
          <w:color w:val="auto"/>
          <w:sz w:val="24"/>
          <w:szCs w:val="24"/>
          <w:highlight w:val="none"/>
        </w:rPr>
      </w:pPr>
    </w:p>
    <w:p w14:paraId="12C5BF82">
      <w:pPr>
        <w:tabs>
          <w:tab w:val="left" w:pos="5130"/>
        </w:tabs>
        <w:spacing w:line="360" w:lineRule="auto"/>
        <w:ind w:firstLine="480" w:firstLineChars="200"/>
        <w:rPr>
          <w:rFonts w:hint="eastAsia" w:ascii="宋体" w:hAnsi="宋体" w:cs="宋体"/>
          <w:color w:val="auto"/>
          <w:sz w:val="24"/>
          <w:szCs w:val="24"/>
          <w:highlight w:val="none"/>
        </w:rPr>
      </w:pPr>
    </w:p>
    <w:p w14:paraId="193F00C3">
      <w:pPr>
        <w:tabs>
          <w:tab w:val="left" w:pos="5130"/>
        </w:tabs>
        <w:spacing w:line="360" w:lineRule="auto"/>
        <w:ind w:firstLine="480" w:firstLineChars="200"/>
        <w:rPr>
          <w:rFonts w:hint="eastAsia" w:ascii="宋体" w:hAnsi="宋体" w:cs="宋体"/>
          <w:color w:val="auto"/>
          <w:sz w:val="24"/>
          <w:szCs w:val="24"/>
          <w:highlight w:val="none"/>
        </w:rPr>
      </w:pPr>
    </w:p>
    <w:p w14:paraId="2F80CD68">
      <w:pPr>
        <w:tabs>
          <w:tab w:val="left" w:pos="5130"/>
        </w:tabs>
        <w:spacing w:line="360" w:lineRule="auto"/>
        <w:ind w:firstLine="480" w:firstLineChars="200"/>
        <w:rPr>
          <w:rFonts w:hint="eastAsia" w:ascii="宋体" w:hAnsi="宋体" w:cs="宋体"/>
          <w:color w:val="auto"/>
          <w:sz w:val="24"/>
          <w:szCs w:val="24"/>
          <w:highlight w:val="none"/>
        </w:rPr>
      </w:pPr>
    </w:p>
    <w:p w14:paraId="4629031A">
      <w:pPr>
        <w:tabs>
          <w:tab w:val="left" w:pos="5130"/>
        </w:tabs>
        <w:spacing w:line="360" w:lineRule="auto"/>
        <w:ind w:firstLine="480" w:firstLineChars="200"/>
        <w:rPr>
          <w:rFonts w:hint="eastAsia" w:ascii="宋体" w:hAnsi="宋体" w:cs="宋体"/>
          <w:color w:val="auto"/>
          <w:sz w:val="24"/>
          <w:szCs w:val="24"/>
          <w:highlight w:val="none"/>
        </w:rPr>
      </w:pPr>
    </w:p>
    <w:p w14:paraId="722AFEBE">
      <w:pPr>
        <w:tabs>
          <w:tab w:val="left" w:pos="5130"/>
        </w:tabs>
        <w:spacing w:line="360" w:lineRule="auto"/>
        <w:ind w:firstLine="480" w:firstLineChars="200"/>
        <w:rPr>
          <w:rFonts w:hint="eastAsia" w:ascii="宋体" w:hAnsi="宋体" w:cs="宋体"/>
          <w:color w:val="auto"/>
          <w:sz w:val="24"/>
          <w:szCs w:val="24"/>
          <w:highlight w:val="none"/>
        </w:rPr>
      </w:pPr>
    </w:p>
    <w:p w14:paraId="7A137657">
      <w:pPr>
        <w:tabs>
          <w:tab w:val="left" w:pos="5130"/>
        </w:tabs>
        <w:spacing w:line="360" w:lineRule="auto"/>
        <w:ind w:firstLine="480" w:firstLineChars="200"/>
        <w:rPr>
          <w:rFonts w:hint="eastAsia" w:ascii="宋体" w:hAnsi="宋体" w:cs="宋体"/>
          <w:color w:val="auto"/>
          <w:sz w:val="24"/>
          <w:szCs w:val="24"/>
          <w:highlight w:val="none"/>
        </w:rPr>
      </w:pPr>
    </w:p>
    <w:p w14:paraId="198EB201">
      <w:pPr>
        <w:tabs>
          <w:tab w:val="left" w:pos="5130"/>
        </w:tabs>
        <w:spacing w:line="360" w:lineRule="auto"/>
        <w:rPr>
          <w:rFonts w:hint="eastAsia" w:ascii="宋体" w:hAnsi="宋体"/>
          <w:color w:val="auto"/>
          <w:sz w:val="24"/>
          <w:szCs w:val="24"/>
          <w:highlight w:val="none"/>
        </w:rPr>
      </w:pPr>
      <w:r>
        <w:rPr>
          <w:rFonts w:hint="eastAsia" w:ascii="宋体" w:hAnsi="宋体" w:cs="Courier New"/>
          <w:b/>
          <w:color w:val="auto"/>
          <w:sz w:val="24"/>
          <w:szCs w:val="24"/>
          <w:highlight w:val="none"/>
        </w:rPr>
        <w:t>一、招标要求</w:t>
      </w:r>
    </w:p>
    <w:p w14:paraId="0DD52C3A">
      <w:pPr>
        <w:tabs>
          <w:tab w:val="left" w:pos="5130"/>
        </w:tabs>
        <w:spacing w:line="360" w:lineRule="auto"/>
        <w:ind w:firstLine="482" w:firstLineChars="200"/>
        <w:rPr>
          <w:rFonts w:hint="eastAsia" w:ascii="宋体" w:hAnsi="宋体" w:cs="宋体"/>
          <w:color w:val="auto"/>
          <w:sz w:val="24"/>
          <w:szCs w:val="24"/>
          <w:highlight w:val="none"/>
        </w:rPr>
      </w:pPr>
      <w:r>
        <w:rPr>
          <w:rFonts w:hint="eastAsia" w:ascii="宋体" w:hAnsi="宋体"/>
          <w:b/>
          <w:color w:val="auto"/>
          <w:sz w:val="24"/>
          <w:szCs w:val="24"/>
          <w:highlight w:val="none"/>
        </w:rPr>
        <w:t>（一）采购货物一览表</w:t>
      </w:r>
    </w:p>
    <w:tbl>
      <w:tblPr>
        <w:tblStyle w:val="12"/>
        <w:tblW w:w="8980" w:type="dxa"/>
        <w:tblInd w:w="98" w:type="dxa"/>
        <w:tblLayout w:type="autofit"/>
        <w:tblCellMar>
          <w:top w:w="0" w:type="dxa"/>
          <w:left w:w="108" w:type="dxa"/>
          <w:bottom w:w="0" w:type="dxa"/>
          <w:right w:w="108" w:type="dxa"/>
        </w:tblCellMar>
      </w:tblPr>
      <w:tblGrid>
        <w:gridCol w:w="990"/>
        <w:gridCol w:w="1279"/>
        <w:gridCol w:w="1878"/>
        <w:gridCol w:w="1656"/>
        <w:gridCol w:w="1279"/>
        <w:gridCol w:w="1898"/>
      </w:tblGrid>
      <w:tr w14:paraId="444745B3">
        <w:tblPrEx>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noWrap/>
            <w:vAlign w:val="center"/>
          </w:tcPr>
          <w:p w14:paraId="1F17DCB9">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序号</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2EB0928D">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产品名称</w:t>
            </w:r>
          </w:p>
        </w:tc>
        <w:tc>
          <w:tcPr>
            <w:tcW w:w="1878" w:type="dxa"/>
            <w:tcBorders>
              <w:top w:val="single" w:color="000000" w:sz="4" w:space="0"/>
              <w:left w:val="single" w:color="000000" w:sz="4" w:space="0"/>
              <w:bottom w:val="nil"/>
              <w:right w:val="single" w:color="000000" w:sz="4" w:space="0"/>
            </w:tcBorders>
            <w:vAlign w:val="center"/>
          </w:tcPr>
          <w:p w14:paraId="25276C0A">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本期招标配置</w:t>
            </w:r>
          </w:p>
        </w:tc>
        <w:tc>
          <w:tcPr>
            <w:tcW w:w="1656" w:type="dxa"/>
            <w:tcBorders>
              <w:top w:val="single" w:color="000000" w:sz="4" w:space="0"/>
              <w:left w:val="single" w:color="000000" w:sz="4" w:space="0"/>
              <w:bottom w:val="single" w:color="000000" w:sz="4" w:space="0"/>
              <w:right w:val="single" w:color="000000" w:sz="4" w:space="0"/>
            </w:tcBorders>
            <w:vAlign w:val="center"/>
          </w:tcPr>
          <w:p w14:paraId="3AA9878D">
            <w:pPr>
              <w:widowControl/>
              <w:spacing w:line="360" w:lineRule="auto"/>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数量</w:t>
            </w:r>
            <w:r>
              <w:rPr>
                <w:rFonts w:ascii="宋体" w:hAnsi="宋体" w:cs="宋体"/>
                <w:color w:val="auto"/>
                <w:kern w:val="0"/>
                <w:sz w:val="24"/>
                <w:szCs w:val="24"/>
                <w:highlight w:val="none"/>
                <w:lang w:bidi="ar"/>
              </w:rPr>
              <w:t>（箱）</w:t>
            </w:r>
          </w:p>
        </w:tc>
        <w:tc>
          <w:tcPr>
            <w:tcW w:w="1279" w:type="dxa"/>
            <w:tcBorders>
              <w:top w:val="single" w:color="000000" w:sz="4" w:space="0"/>
              <w:left w:val="single" w:color="000000" w:sz="4" w:space="0"/>
              <w:bottom w:val="single" w:color="000000" w:sz="4" w:space="0"/>
              <w:right w:val="single" w:color="000000" w:sz="4" w:space="0"/>
            </w:tcBorders>
            <w:vAlign w:val="center"/>
          </w:tcPr>
          <w:p w14:paraId="6F9A813E">
            <w:pPr>
              <w:widowControl/>
              <w:spacing w:line="360" w:lineRule="auto"/>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本期限价</w:t>
            </w:r>
            <w:r>
              <w:rPr>
                <w:rFonts w:ascii="宋体" w:hAnsi="宋体" w:cs="宋体"/>
                <w:color w:val="auto"/>
                <w:kern w:val="0"/>
                <w:sz w:val="24"/>
                <w:szCs w:val="24"/>
                <w:highlight w:val="none"/>
                <w:lang w:bidi="ar"/>
              </w:rPr>
              <w:t>（元/箱）</w:t>
            </w:r>
          </w:p>
        </w:tc>
        <w:tc>
          <w:tcPr>
            <w:tcW w:w="1898" w:type="dxa"/>
            <w:tcBorders>
              <w:top w:val="single" w:color="000000" w:sz="4" w:space="0"/>
              <w:left w:val="single" w:color="000000" w:sz="4" w:space="0"/>
              <w:bottom w:val="single" w:color="000000" w:sz="4" w:space="0"/>
              <w:right w:val="single" w:color="000000" w:sz="4" w:space="0"/>
            </w:tcBorders>
            <w:vAlign w:val="center"/>
          </w:tcPr>
          <w:p w14:paraId="5231BA91">
            <w:pPr>
              <w:widowControl/>
              <w:spacing w:line="360" w:lineRule="auto"/>
              <w:jc w:val="center"/>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合计</w:t>
            </w:r>
            <w:r>
              <w:rPr>
                <w:rFonts w:ascii="宋体" w:hAnsi="宋体" w:cs="宋体"/>
                <w:color w:val="auto"/>
                <w:kern w:val="0"/>
                <w:sz w:val="24"/>
                <w:szCs w:val="24"/>
                <w:highlight w:val="none"/>
                <w:lang w:bidi="ar"/>
              </w:rPr>
              <w:t>（元）</w:t>
            </w:r>
          </w:p>
        </w:tc>
      </w:tr>
      <w:tr w14:paraId="53A22A17">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0640856">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6126B6">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0B80C916">
            <w:pPr>
              <w:jc w:val="center"/>
              <w:rPr>
                <w:rFonts w:hint="eastAsia" w:ascii="宋体" w:hAnsi="宋体" w:cs="宋体"/>
                <w:color w:val="auto"/>
                <w:sz w:val="24"/>
                <w:szCs w:val="24"/>
                <w:highlight w:val="none"/>
              </w:rPr>
            </w:pPr>
            <w:r>
              <w:rPr>
                <w:rFonts w:hint="eastAsia" w:ascii="宋体" w:hAnsi="宋体"/>
                <w:color w:val="auto"/>
                <w:sz w:val="24"/>
                <w:szCs w:val="24"/>
                <w:highlight w:val="none"/>
              </w:rPr>
              <w:t>A3-70g  5包/箱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2A4ED">
            <w:pPr>
              <w:widowControl/>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17423</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06D2F059">
            <w:pPr>
              <w:widowControl/>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174.63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793C57C4">
            <w:pPr>
              <w:widowControl/>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3042578.49 </w:t>
            </w:r>
          </w:p>
        </w:tc>
      </w:tr>
      <w:tr w14:paraId="0919284D">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0B9C07A">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4F7E87">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4F168735">
            <w:pPr>
              <w:jc w:val="center"/>
              <w:rPr>
                <w:rFonts w:hint="eastAsia" w:ascii="宋体" w:hAnsi="宋体" w:cs="宋体"/>
                <w:color w:val="auto"/>
                <w:sz w:val="24"/>
                <w:szCs w:val="24"/>
                <w:highlight w:val="none"/>
              </w:rPr>
            </w:pPr>
            <w:r>
              <w:rPr>
                <w:rFonts w:hint="eastAsia" w:ascii="宋体" w:hAnsi="宋体"/>
                <w:color w:val="auto"/>
                <w:sz w:val="24"/>
                <w:szCs w:val="24"/>
                <w:highlight w:val="none"/>
              </w:rPr>
              <w:t>A3-80g 5包/箱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A730A6">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8698</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64791FEE">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199.60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6A3C3D4F">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1736120.80 </w:t>
            </w:r>
          </w:p>
        </w:tc>
      </w:tr>
      <w:tr w14:paraId="5B169EC9">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4690DEB">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DE3DAA">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3743B0D5">
            <w:pPr>
              <w:jc w:val="center"/>
              <w:rPr>
                <w:rFonts w:hint="eastAsia" w:ascii="宋体" w:hAnsi="宋体" w:cs="宋体"/>
                <w:color w:val="auto"/>
                <w:sz w:val="24"/>
                <w:szCs w:val="24"/>
                <w:highlight w:val="none"/>
              </w:rPr>
            </w:pPr>
            <w:r>
              <w:rPr>
                <w:rFonts w:hint="eastAsia" w:ascii="宋体" w:hAnsi="宋体"/>
                <w:color w:val="auto"/>
                <w:sz w:val="24"/>
                <w:szCs w:val="24"/>
                <w:highlight w:val="none"/>
              </w:rPr>
              <w:t>A4-70g 10包/箱</w:t>
            </w:r>
          </w:p>
        </w:tc>
        <w:tc>
          <w:tcPr>
            <w:tcW w:w="1656" w:type="dxa"/>
            <w:tcBorders>
              <w:top w:val="single" w:color="000000" w:sz="4" w:space="0"/>
              <w:left w:val="single" w:color="000000" w:sz="4" w:space="0"/>
              <w:bottom w:val="single" w:color="000000" w:sz="4" w:space="0"/>
              <w:right w:val="single" w:color="000000" w:sz="4" w:space="0"/>
            </w:tcBorders>
            <w:vAlign w:val="center"/>
          </w:tcPr>
          <w:p w14:paraId="4BD8AD14">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65968</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39C65242">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174.63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3B3F349D">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11519991.84 </w:t>
            </w:r>
          </w:p>
        </w:tc>
      </w:tr>
      <w:tr w14:paraId="3636AAA8">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8AFABAC">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7C1AF9">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2EE5FBF2">
            <w:pPr>
              <w:jc w:val="center"/>
              <w:rPr>
                <w:rFonts w:hint="eastAsia" w:ascii="宋体" w:hAnsi="宋体" w:cs="宋体"/>
                <w:color w:val="auto"/>
                <w:sz w:val="24"/>
                <w:szCs w:val="24"/>
                <w:highlight w:val="none"/>
              </w:rPr>
            </w:pPr>
            <w:r>
              <w:rPr>
                <w:rFonts w:hint="eastAsia" w:ascii="宋体" w:hAnsi="宋体"/>
                <w:color w:val="auto"/>
                <w:sz w:val="24"/>
                <w:szCs w:val="24"/>
                <w:highlight w:val="none"/>
              </w:rPr>
              <w:t>A4-80g 10包/箱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B20247">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45247</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17049CB4">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199.60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245A15CD">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9031301.20 </w:t>
            </w:r>
          </w:p>
        </w:tc>
      </w:tr>
      <w:tr w14:paraId="7D7F48FE">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F02A118">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4F2F79">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2B0E6763">
            <w:pPr>
              <w:jc w:val="center"/>
              <w:rPr>
                <w:rFonts w:hint="eastAsia" w:ascii="宋体" w:hAnsi="宋体" w:cs="宋体"/>
                <w:color w:val="auto"/>
                <w:sz w:val="24"/>
                <w:szCs w:val="24"/>
                <w:highlight w:val="none"/>
              </w:rPr>
            </w:pPr>
            <w:r>
              <w:rPr>
                <w:rFonts w:hint="eastAsia" w:ascii="宋体" w:hAnsi="宋体"/>
                <w:color w:val="auto"/>
                <w:sz w:val="24"/>
                <w:szCs w:val="24"/>
                <w:highlight w:val="none"/>
              </w:rPr>
              <w:t>8K-70g 4包/箱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1DABE">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115151</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2E6D2903">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117.94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5611FF99">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13580908.94 </w:t>
            </w:r>
          </w:p>
        </w:tc>
      </w:tr>
      <w:tr w14:paraId="0EB518BF">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A7ADA44">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A28057">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7E6F77E5">
            <w:pPr>
              <w:jc w:val="center"/>
              <w:rPr>
                <w:rFonts w:hint="eastAsia" w:ascii="宋体" w:hAnsi="宋体" w:cs="宋体"/>
                <w:color w:val="auto"/>
                <w:sz w:val="24"/>
                <w:szCs w:val="24"/>
                <w:highlight w:val="none"/>
              </w:rPr>
            </w:pPr>
            <w:r>
              <w:rPr>
                <w:rFonts w:hint="eastAsia" w:ascii="宋体" w:hAnsi="宋体"/>
                <w:color w:val="auto"/>
                <w:sz w:val="24"/>
                <w:szCs w:val="24"/>
                <w:highlight w:val="none"/>
              </w:rPr>
              <w:t>8K-80g 4包/箱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3FC36">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7501</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650E226B">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134.79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7B4E0AB3">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1011059.79 </w:t>
            </w:r>
          </w:p>
        </w:tc>
      </w:tr>
      <w:tr w14:paraId="44C7DF16">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3D234A9">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4C79BD">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75F16ABF">
            <w:pPr>
              <w:jc w:val="center"/>
              <w:rPr>
                <w:rFonts w:hint="eastAsia" w:ascii="宋体" w:hAnsi="宋体" w:cs="宋体"/>
                <w:color w:val="auto"/>
                <w:sz w:val="24"/>
                <w:szCs w:val="24"/>
                <w:highlight w:val="none"/>
              </w:rPr>
            </w:pPr>
            <w:r>
              <w:rPr>
                <w:rFonts w:hint="eastAsia" w:ascii="宋体" w:hAnsi="宋体"/>
                <w:color w:val="auto"/>
                <w:sz w:val="24"/>
                <w:szCs w:val="24"/>
                <w:highlight w:val="none"/>
              </w:rPr>
              <w:t>16K-70g 8包/箱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F00914">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3670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2E350B75">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117.94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6CEE93C0">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432839.80 </w:t>
            </w:r>
          </w:p>
        </w:tc>
      </w:tr>
      <w:tr w14:paraId="35B2A48F">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7B93DD3">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60190C">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3B72F5EE">
            <w:pPr>
              <w:jc w:val="center"/>
              <w:rPr>
                <w:rFonts w:hint="eastAsia" w:ascii="宋体" w:hAnsi="宋体" w:cs="宋体"/>
                <w:color w:val="auto"/>
                <w:sz w:val="24"/>
                <w:szCs w:val="24"/>
                <w:highlight w:val="none"/>
              </w:rPr>
            </w:pPr>
            <w:r>
              <w:rPr>
                <w:rFonts w:hint="eastAsia" w:ascii="宋体" w:hAnsi="宋体"/>
                <w:color w:val="auto"/>
                <w:sz w:val="24"/>
                <w:szCs w:val="24"/>
                <w:highlight w:val="none"/>
              </w:rPr>
              <w:t>16K-80g 8包/箱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CEE24">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452</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1A50797B">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134.79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4C218A2B">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60925.08 </w:t>
            </w:r>
          </w:p>
        </w:tc>
      </w:tr>
      <w:tr w14:paraId="02F8D8F8">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D969DD8">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7E4E7E">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4437F34B">
            <w:pPr>
              <w:jc w:val="center"/>
              <w:rPr>
                <w:rFonts w:hint="eastAsia" w:ascii="宋体" w:hAnsi="宋体" w:cs="宋体"/>
                <w:color w:val="auto"/>
                <w:sz w:val="24"/>
                <w:szCs w:val="24"/>
                <w:highlight w:val="none"/>
              </w:rPr>
            </w:pPr>
            <w:r>
              <w:rPr>
                <w:rFonts w:hint="eastAsia" w:ascii="宋体" w:hAnsi="宋体"/>
                <w:color w:val="auto"/>
                <w:sz w:val="24"/>
                <w:szCs w:val="24"/>
                <w:highlight w:val="none"/>
              </w:rPr>
              <w:t>B4-70g 4包/箱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7E462">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290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0A3549E5">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104.78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68208B43">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30386.20 </w:t>
            </w:r>
          </w:p>
        </w:tc>
      </w:tr>
      <w:tr w14:paraId="0D34B94A">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0DDB4B7">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E246AC">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13B7218C">
            <w:pPr>
              <w:jc w:val="center"/>
              <w:rPr>
                <w:rFonts w:hint="eastAsia" w:ascii="宋体" w:hAnsi="宋体" w:cs="宋体"/>
                <w:color w:val="auto"/>
                <w:sz w:val="24"/>
                <w:szCs w:val="24"/>
                <w:highlight w:val="none"/>
              </w:rPr>
            </w:pPr>
            <w:r>
              <w:rPr>
                <w:rFonts w:hint="eastAsia" w:ascii="宋体" w:hAnsi="宋体"/>
                <w:color w:val="auto"/>
                <w:sz w:val="24"/>
                <w:szCs w:val="24"/>
                <w:highlight w:val="none"/>
              </w:rPr>
              <w:t>A5-70g 20包/箱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707BD1">
            <w:pPr>
              <w:jc w:val="center"/>
              <w:rPr>
                <w:rFonts w:hint="eastAsia" w:cs="宋体"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1600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221A4171">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174.06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79BC2DBE">
            <w:pPr>
              <w:jc w:val="center"/>
              <w:rPr>
                <w:rFonts w:hint="eastAsia" w:ascii="宋体" w:hAnsi="宋体" w:cs="宋体"/>
                <w:color w:val="auto"/>
                <w:sz w:val="24"/>
                <w:szCs w:val="24"/>
                <w:highlight w:val="none"/>
              </w:rPr>
            </w:pPr>
            <w:r>
              <w:rPr>
                <w:rFonts w:hint="eastAsia" w:ascii="宋体" w:hAnsi="宋体"/>
                <w:color w:val="auto"/>
                <w:sz w:val="24"/>
                <w:szCs w:val="24"/>
                <w:highlight w:val="none"/>
              </w:rPr>
              <w:t xml:space="preserve">278496.00 </w:t>
            </w:r>
          </w:p>
        </w:tc>
      </w:tr>
      <w:tr w14:paraId="3AFBECBC">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ABF621D">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1-11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492005">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21B02030">
            <w:pPr>
              <w:jc w:val="center"/>
              <w:rPr>
                <w:rFonts w:hint="eastAsia" w:ascii="宋体" w:hAnsi="宋体" w:cs="宋体"/>
                <w:color w:val="auto"/>
                <w:kern w:val="0"/>
                <w:sz w:val="24"/>
                <w:szCs w:val="24"/>
                <w:highlight w:val="none"/>
                <w:lang w:bidi="ar"/>
              </w:rPr>
            </w:pPr>
            <w:r>
              <w:rPr>
                <w:rFonts w:hint="eastAsia" w:ascii="宋体" w:hAnsi="宋体"/>
                <w:color w:val="auto"/>
                <w:sz w:val="24"/>
                <w:szCs w:val="24"/>
                <w:highlight w:val="none"/>
              </w:rPr>
              <w:t>A4-70g 10包/箱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B8C3C">
            <w:pPr>
              <w:jc w:val="center"/>
              <w:rPr>
                <w:rFonts w:hint="eastAsia" w:cs="宋体" w:asciiTheme="minorEastAsia" w:hAnsiTheme="minorEastAsia" w:eastAsiaTheme="minorEastAsia"/>
                <w:color w:val="auto"/>
                <w:kern w:val="0"/>
                <w:sz w:val="24"/>
                <w:szCs w:val="24"/>
                <w:highlight w:val="none"/>
                <w:lang w:bidi="ar"/>
              </w:rPr>
            </w:pPr>
            <w:r>
              <w:rPr>
                <w:rFonts w:hint="eastAsia" w:asciiTheme="minorEastAsia" w:hAnsiTheme="minorEastAsia" w:eastAsiaTheme="minorEastAsia"/>
                <w:color w:val="auto"/>
                <w:sz w:val="24"/>
                <w:szCs w:val="24"/>
                <w:highlight w:val="none"/>
              </w:rPr>
              <w:t>16000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3643E757">
            <w:pPr>
              <w:jc w:val="center"/>
              <w:rPr>
                <w:rFonts w:hint="eastAsia" w:ascii="宋体" w:hAnsi="宋体" w:cs="宋体"/>
                <w:color w:val="auto"/>
                <w:kern w:val="0"/>
                <w:sz w:val="24"/>
                <w:szCs w:val="24"/>
                <w:highlight w:val="none"/>
                <w:lang w:bidi="ar"/>
              </w:rPr>
            </w:pPr>
            <w:r>
              <w:rPr>
                <w:rFonts w:hint="eastAsia" w:ascii="宋体" w:hAnsi="宋体"/>
                <w:color w:val="auto"/>
                <w:sz w:val="24"/>
                <w:szCs w:val="24"/>
                <w:highlight w:val="none"/>
              </w:rPr>
              <w:t xml:space="preserve">135.34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300B2502">
            <w:pPr>
              <w:jc w:val="center"/>
              <w:rPr>
                <w:rFonts w:hint="eastAsia" w:ascii="宋体" w:hAnsi="宋体" w:cs="宋体"/>
                <w:color w:val="auto"/>
                <w:kern w:val="0"/>
                <w:sz w:val="24"/>
                <w:szCs w:val="24"/>
                <w:highlight w:val="none"/>
                <w:lang w:bidi="ar"/>
              </w:rPr>
            </w:pPr>
            <w:r>
              <w:rPr>
                <w:rFonts w:hint="eastAsia" w:ascii="宋体" w:hAnsi="宋体"/>
                <w:color w:val="auto"/>
                <w:sz w:val="24"/>
                <w:szCs w:val="24"/>
                <w:highlight w:val="none"/>
              </w:rPr>
              <w:t xml:space="preserve">2165440.00 </w:t>
            </w:r>
          </w:p>
        </w:tc>
      </w:tr>
      <w:tr w14:paraId="4B49AA11">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003DDCA">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1-12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BBF481">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046D558D">
            <w:pPr>
              <w:jc w:val="center"/>
              <w:rPr>
                <w:rFonts w:hint="eastAsia" w:ascii="宋体" w:hAnsi="宋体" w:cs="宋体"/>
                <w:color w:val="auto"/>
                <w:kern w:val="0"/>
                <w:sz w:val="24"/>
                <w:szCs w:val="24"/>
                <w:highlight w:val="none"/>
                <w:lang w:bidi="ar"/>
              </w:rPr>
            </w:pPr>
            <w:r>
              <w:rPr>
                <w:rFonts w:hint="eastAsia" w:ascii="宋体" w:hAnsi="宋体"/>
                <w:color w:val="auto"/>
                <w:sz w:val="24"/>
                <w:szCs w:val="24"/>
                <w:highlight w:val="none"/>
              </w:rPr>
              <w:t>A4-80g 10包/箱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5138EC">
            <w:pPr>
              <w:jc w:val="center"/>
              <w:rPr>
                <w:rFonts w:hint="eastAsia" w:cs="宋体" w:asciiTheme="minorEastAsia" w:hAnsiTheme="minorEastAsia" w:eastAsiaTheme="minorEastAsia"/>
                <w:color w:val="auto"/>
                <w:kern w:val="0"/>
                <w:sz w:val="24"/>
                <w:szCs w:val="24"/>
                <w:highlight w:val="none"/>
                <w:lang w:bidi="ar"/>
              </w:rPr>
            </w:pPr>
            <w:r>
              <w:rPr>
                <w:rFonts w:hint="eastAsia" w:asciiTheme="minorEastAsia" w:hAnsiTheme="minorEastAsia" w:eastAsiaTheme="minorEastAsia"/>
                <w:color w:val="auto"/>
                <w:sz w:val="24"/>
                <w:szCs w:val="24"/>
                <w:highlight w:val="none"/>
              </w:rPr>
              <w:t>5000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61DDC1AF">
            <w:pPr>
              <w:jc w:val="center"/>
              <w:rPr>
                <w:rFonts w:hint="eastAsia" w:ascii="宋体" w:hAnsi="宋体" w:cs="宋体"/>
                <w:color w:val="auto"/>
                <w:kern w:val="0"/>
                <w:sz w:val="24"/>
                <w:szCs w:val="24"/>
                <w:highlight w:val="none"/>
                <w:lang w:bidi="ar"/>
              </w:rPr>
            </w:pPr>
            <w:r>
              <w:rPr>
                <w:rFonts w:hint="eastAsia" w:ascii="宋体" w:hAnsi="宋体"/>
                <w:color w:val="auto"/>
                <w:sz w:val="24"/>
                <w:szCs w:val="24"/>
                <w:highlight w:val="none"/>
              </w:rPr>
              <w:t xml:space="preserve">154.69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3CE6089E">
            <w:pPr>
              <w:jc w:val="center"/>
              <w:rPr>
                <w:rFonts w:hint="eastAsia" w:ascii="宋体" w:hAnsi="宋体" w:cs="宋体"/>
                <w:color w:val="auto"/>
                <w:kern w:val="0"/>
                <w:sz w:val="24"/>
                <w:szCs w:val="24"/>
                <w:highlight w:val="none"/>
                <w:lang w:bidi="ar"/>
              </w:rPr>
            </w:pPr>
            <w:r>
              <w:rPr>
                <w:rFonts w:hint="eastAsia" w:ascii="宋体" w:hAnsi="宋体"/>
                <w:color w:val="auto"/>
                <w:sz w:val="24"/>
                <w:szCs w:val="24"/>
                <w:highlight w:val="none"/>
              </w:rPr>
              <w:t xml:space="preserve">773450.00 </w:t>
            </w:r>
          </w:p>
        </w:tc>
      </w:tr>
      <w:tr w14:paraId="4217D8B2">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9993BE2">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1-13</w:t>
            </w:r>
          </w:p>
        </w:tc>
        <w:tc>
          <w:tcPr>
            <w:tcW w:w="0" w:type="auto"/>
            <w:tcBorders>
              <w:top w:val="single" w:color="000000" w:sz="4" w:space="0"/>
              <w:left w:val="single" w:color="000000" w:sz="4" w:space="0"/>
              <w:bottom w:val="single" w:color="000000" w:sz="4" w:space="0"/>
              <w:right w:val="single" w:color="000000" w:sz="4" w:space="0"/>
            </w:tcBorders>
            <w:noWrap/>
          </w:tcPr>
          <w:p w14:paraId="7CB39709">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420C0851">
            <w:pPr>
              <w:jc w:val="center"/>
              <w:rPr>
                <w:rFonts w:hint="eastAsia" w:ascii="宋体" w:hAnsi="宋体"/>
                <w:color w:val="auto"/>
                <w:sz w:val="24"/>
                <w:szCs w:val="24"/>
                <w:highlight w:val="none"/>
              </w:rPr>
            </w:pPr>
            <w:r>
              <w:rPr>
                <w:rFonts w:hint="eastAsia" w:ascii="宋体" w:hAnsi="宋体"/>
                <w:color w:val="auto"/>
                <w:sz w:val="24"/>
                <w:szCs w:val="24"/>
                <w:highlight w:val="none"/>
              </w:rPr>
              <w:t>A3-70g  5包/箱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A6D1E">
            <w:pPr>
              <w:jc w:val="center"/>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3000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22E09DA7">
            <w:pPr>
              <w:jc w:val="center"/>
              <w:rPr>
                <w:rFonts w:hint="eastAsia" w:ascii="宋体" w:hAnsi="宋体"/>
                <w:color w:val="auto"/>
                <w:sz w:val="24"/>
                <w:szCs w:val="24"/>
                <w:highlight w:val="none"/>
              </w:rPr>
            </w:pPr>
            <w:r>
              <w:rPr>
                <w:rFonts w:hint="eastAsia" w:ascii="宋体" w:hAnsi="宋体"/>
                <w:color w:val="auto"/>
                <w:sz w:val="24"/>
                <w:szCs w:val="24"/>
                <w:highlight w:val="none"/>
              </w:rPr>
              <w:t xml:space="preserve">135.34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700ECF3B">
            <w:pPr>
              <w:jc w:val="center"/>
              <w:rPr>
                <w:rFonts w:hint="eastAsia" w:ascii="宋体" w:hAnsi="宋体"/>
                <w:color w:val="auto"/>
                <w:sz w:val="24"/>
                <w:szCs w:val="24"/>
                <w:highlight w:val="none"/>
              </w:rPr>
            </w:pPr>
            <w:r>
              <w:rPr>
                <w:rFonts w:hint="eastAsia" w:ascii="宋体" w:hAnsi="宋体"/>
                <w:color w:val="auto"/>
                <w:sz w:val="24"/>
                <w:szCs w:val="24"/>
                <w:highlight w:val="none"/>
              </w:rPr>
              <w:t xml:space="preserve">406020.00 </w:t>
            </w:r>
          </w:p>
        </w:tc>
      </w:tr>
      <w:tr w14:paraId="2E1EF361">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64775B">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1-14</w:t>
            </w:r>
          </w:p>
        </w:tc>
        <w:tc>
          <w:tcPr>
            <w:tcW w:w="0" w:type="auto"/>
            <w:tcBorders>
              <w:top w:val="single" w:color="000000" w:sz="4" w:space="0"/>
              <w:left w:val="single" w:color="000000" w:sz="4" w:space="0"/>
              <w:bottom w:val="single" w:color="000000" w:sz="4" w:space="0"/>
              <w:right w:val="single" w:color="000000" w:sz="4" w:space="0"/>
            </w:tcBorders>
            <w:noWrap/>
          </w:tcPr>
          <w:p w14:paraId="7A55951F">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3EC4D021">
            <w:pPr>
              <w:jc w:val="center"/>
              <w:rPr>
                <w:rFonts w:hint="eastAsia" w:ascii="宋体" w:hAnsi="宋体"/>
                <w:color w:val="auto"/>
                <w:sz w:val="24"/>
                <w:szCs w:val="24"/>
                <w:highlight w:val="none"/>
              </w:rPr>
            </w:pPr>
            <w:r>
              <w:rPr>
                <w:rFonts w:hint="eastAsia" w:ascii="宋体" w:hAnsi="宋体"/>
                <w:color w:val="auto"/>
                <w:sz w:val="24"/>
                <w:szCs w:val="24"/>
                <w:highlight w:val="none"/>
              </w:rPr>
              <w:t>A3-80g 5包/箱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8AB48">
            <w:pPr>
              <w:jc w:val="center"/>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1000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6AD2C2D5">
            <w:pPr>
              <w:jc w:val="center"/>
              <w:rPr>
                <w:rFonts w:hint="eastAsia" w:ascii="宋体" w:hAnsi="宋体"/>
                <w:color w:val="auto"/>
                <w:sz w:val="24"/>
                <w:szCs w:val="24"/>
                <w:highlight w:val="none"/>
              </w:rPr>
            </w:pPr>
            <w:r>
              <w:rPr>
                <w:rFonts w:hint="eastAsia" w:ascii="宋体" w:hAnsi="宋体"/>
                <w:color w:val="auto"/>
                <w:sz w:val="24"/>
                <w:szCs w:val="24"/>
                <w:highlight w:val="none"/>
              </w:rPr>
              <w:t xml:space="preserve">154.69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786E64F8">
            <w:pPr>
              <w:jc w:val="center"/>
              <w:rPr>
                <w:rFonts w:hint="eastAsia" w:ascii="宋体" w:hAnsi="宋体"/>
                <w:color w:val="auto"/>
                <w:sz w:val="24"/>
                <w:szCs w:val="24"/>
                <w:highlight w:val="none"/>
              </w:rPr>
            </w:pPr>
            <w:r>
              <w:rPr>
                <w:rFonts w:hint="eastAsia" w:ascii="宋体" w:hAnsi="宋体"/>
                <w:color w:val="auto"/>
                <w:sz w:val="24"/>
                <w:szCs w:val="24"/>
                <w:highlight w:val="none"/>
              </w:rPr>
              <w:t xml:space="preserve">154690.00 </w:t>
            </w:r>
          </w:p>
        </w:tc>
      </w:tr>
      <w:tr w14:paraId="03AD7EE3">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4B68487">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1-15</w:t>
            </w:r>
          </w:p>
        </w:tc>
        <w:tc>
          <w:tcPr>
            <w:tcW w:w="0" w:type="auto"/>
            <w:tcBorders>
              <w:top w:val="single" w:color="000000" w:sz="4" w:space="0"/>
              <w:left w:val="single" w:color="000000" w:sz="4" w:space="0"/>
              <w:bottom w:val="single" w:color="000000" w:sz="4" w:space="0"/>
              <w:right w:val="single" w:color="000000" w:sz="4" w:space="0"/>
            </w:tcBorders>
            <w:noWrap/>
          </w:tcPr>
          <w:p w14:paraId="0F684934">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529F35E4">
            <w:pPr>
              <w:jc w:val="center"/>
              <w:rPr>
                <w:rFonts w:hint="eastAsia" w:ascii="宋体" w:hAnsi="宋体"/>
                <w:color w:val="auto"/>
                <w:sz w:val="24"/>
                <w:szCs w:val="24"/>
                <w:highlight w:val="none"/>
              </w:rPr>
            </w:pPr>
            <w:r>
              <w:rPr>
                <w:rFonts w:hint="eastAsia" w:ascii="宋体" w:hAnsi="宋体"/>
                <w:color w:val="auto"/>
                <w:sz w:val="24"/>
                <w:szCs w:val="24"/>
                <w:highlight w:val="none"/>
              </w:rPr>
              <w:t>8K-70g 4包/箱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CE00D">
            <w:pPr>
              <w:jc w:val="center"/>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28000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664498B1">
            <w:pPr>
              <w:jc w:val="center"/>
              <w:rPr>
                <w:rFonts w:hint="eastAsia" w:ascii="宋体" w:hAnsi="宋体"/>
                <w:color w:val="auto"/>
                <w:sz w:val="24"/>
                <w:szCs w:val="24"/>
                <w:highlight w:val="none"/>
              </w:rPr>
            </w:pPr>
            <w:r>
              <w:rPr>
                <w:rFonts w:hint="eastAsia" w:ascii="宋体" w:hAnsi="宋体"/>
                <w:color w:val="auto"/>
                <w:sz w:val="24"/>
                <w:szCs w:val="24"/>
                <w:highlight w:val="none"/>
              </w:rPr>
              <w:t xml:space="preserve">91.40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7E91DC1D">
            <w:pPr>
              <w:jc w:val="center"/>
              <w:rPr>
                <w:rFonts w:hint="eastAsia" w:ascii="宋体" w:hAnsi="宋体"/>
                <w:color w:val="auto"/>
                <w:sz w:val="24"/>
                <w:szCs w:val="24"/>
                <w:highlight w:val="none"/>
              </w:rPr>
            </w:pPr>
            <w:r>
              <w:rPr>
                <w:rFonts w:hint="eastAsia" w:ascii="宋体" w:hAnsi="宋体"/>
                <w:color w:val="auto"/>
                <w:sz w:val="24"/>
                <w:szCs w:val="24"/>
                <w:highlight w:val="none"/>
              </w:rPr>
              <w:t xml:space="preserve">2559200.00 </w:t>
            </w:r>
          </w:p>
        </w:tc>
      </w:tr>
      <w:tr w14:paraId="5CC9E13C">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96FA60C">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1-16</w:t>
            </w:r>
          </w:p>
        </w:tc>
        <w:tc>
          <w:tcPr>
            <w:tcW w:w="0" w:type="auto"/>
            <w:tcBorders>
              <w:top w:val="single" w:color="000000" w:sz="4" w:space="0"/>
              <w:left w:val="single" w:color="000000" w:sz="4" w:space="0"/>
              <w:bottom w:val="single" w:color="000000" w:sz="4" w:space="0"/>
              <w:right w:val="single" w:color="000000" w:sz="4" w:space="0"/>
            </w:tcBorders>
            <w:noWrap/>
          </w:tcPr>
          <w:p w14:paraId="3F4B6C4F">
            <w:pPr>
              <w:widowControl/>
              <w:spacing w:line="360" w:lineRule="auto"/>
              <w:jc w:val="left"/>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复印纸</w:t>
            </w:r>
          </w:p>
        </w:tc>
        <w:tc>
          <w:tcPr>
            <w:tcW w:w="1878" w:type="dxa"/>
            <w:tcBorders>
              <w:top w:val="single" w:color="000000" w:sz="4" w:space="0"/>
              <w:left w:val="single" w:color="000000" w:sz="4" w:space="0"/>
              <w:bottom w:val="single" w:color="000000" w:sz="4" w:space="0"/>
              <w:right w:val="single" w:color="000000" w:sz="4" w:space="0"/>
            </w:tcBorders>
            <w:vAlign w:val="center"/>
          </w:tcPr>
          <w:p w14:paraId="7BDCB07D">
            <w:pPr>
              <w:jc w:val="center"/>
              <w:rPr>
                <w:rFonts w:hint="eastAsia" w:ascii="宋体" w:hAnsi="宋体"/>
                <w:color w:val="auto"/>
                <w:sz w:val="24"/>
                <w:szCs w:val="24"/>
                <w:highlight w:val="none"/>
              </w:rPr>
            </w:pPr>
            <w:r>
              <w:rPr>
                <w:rFonts w:hint="eastAsia" w:ascii="宋体" w:hAnsi="宋体"/>
                <w:color w:val="auto"/>
                <w:sz w:val="24"/>
                <w:szCs w:val="24"/>
                <w:highlight w:val="none"/>
              </w:rPr>
              <w:t>8K-80g 4包/箱</w:t>
            </w:r>
          </w:p>
        </w:tc>
        <w:tc>
          <w:tcPr>
            <w:tcW w:w="16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791303">
            <w:pPr>
              <w:jc w:val="center"/>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1000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552FC305">
            <w:pPr>
              <w:jc w:val="center"/>
              <w:rPr>
                <w:rFonts w:hint="eastAsia" w:ascii="宋体" w:hAnsi="宋体"/>
                <w:color w:val="auto"/>
                <w:sz w:val="24"/>
                <w:szCs w:val="24"/>
                <w:highlight w:val="none"/>
              </w:rPr>
            </w:pPr>
            <w:r>
              <w:rPr>
                <w:rFonts w:hint="eastAsia" w:ascii="宋体" w:hAnsi="宋体"/>
                <w:color w:val="auto"/>
                <w:sz w:val="24"/>
                <w:szCs w:val="24"/>
                <w:highlight w:val="none"/>
              </w:rPr>
              <w:t xml:space="preserve">104.47 </w:t>
            </w: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0BA14048">
            <w:pPr>
              <w:jc w:val="center"/>
              <w:rPr>
                <w:rFonts w:hint="eastAsia" w:ascii="宋体" w:hAnsi="宋体"/>
                <w:color w:val="auto"/>
                <w:sz w:val="24"/>
                <w:szCs w:val="24"/>
                <w:highlight w:val="none"/>
              </w:rPr>
            </w:pPr>
            <w:r>
              <w:rPr>
                <w:rFonts w:hint="eastAsia" w:ascii="宋体" w:hAnsi="宋体"/>
                <w:color w:val="auto"/>
                <w:sz w:val="24"/>
                <w:szCs w:val="24"/>
                <w:highlight w:val="none"/>
              </w:rPr>
              <w:t xml:space="preserve">104470.00 </w:t>
            </w:r>
          </w:p>
        </w:tc>
      </w:tr>
      <w:tr w14:paraId="32DD1C8C">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248D400">
            <w:pPr>
              <w:spacing w:line="360" w:lineRule="auto"/>
              <w:rPr>
                <w:rFonts w:hint="eastAsia" w:ascii="宋体" w:hAnsi="宋体" w:cs="宋体"/>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F0FEAA">
            <w:pPr>
              <w:spacing w:line="360" w:lineRule="auto"/>
              <w:rPr>
                <w:rFonts w:hint="eastAsia" w:ascii="宋体" w:hAnsi="宋体" w:cs="宋体"/>
                <w:color w:val="auto"/>
                <w:sz w:val="24"/>
                <w:szCs w:val="24"/>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5C2461">
            <w:pPr>
              <w:widowControl/>
              <w:spacing w:line="360" w:lineRule="auto"/>
              <w:jc w:val="left"/>
              <w:textAlignment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8339DB">
            <w:pPr>
              <w:widowControl/>
              <w:spacing w:line="360" w:lineRule="auto"/>
              <w:jc w:val="center"/>
              <w:textAlignment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320000</w:t>
            </w:r>
          </w:p>
        </w:tc>
        <w:tc>
          <w:tcPr>
            <w:tcW w:w="1279" w:type="dxa"/>
            <w:tcBorders>
              <w:top w:val="single" w:color="000000" w:sz="4" w:space="0"/>
              <w:left w:val="single" w:color="000000" w:sz="4" w:space="0"/>
              <w:bottom w:val="single" w:color="000000" w:sz="4" w:space="0"/>
              <w:right w:val="single" w:color="000000" w:sz="4" w:space="0"/>
            </w:tcBorders>
            <w:noWrap/>
            <w:vAlign w:val="center"/>
          </w:tcPr>
          <w:p w14:paraId="78689F27">
            <w:pPr>
              <w:widowControl/>
              <w:spacing w:line="360" w:lineRule="auto"/>
              <w:jc w:val="center"/>
              <w:textAlignment w:val="center"/>
              <w:rPr>
                <w:rFonts w:hint="eastAsia" w:ascii="宋体" w:hAnsi="宋体" w:cs="宋体"/>
                <w:color w:val="auto"/>
                <w:kern w:val="0"/>
                <w:sz w:val="24"/>
                <w:szCs w:val="24"/>
                <w:highlight w:val="none"/>
                <w:lang w:bidi="ar"/>
              </w:rPr>
            </w:pPr>
          </w:p>
        </w:tc>
        <w:tc>
          <w:tcPr>
            <w:tcW w:w="1898" w:type="dxa"/>
            <w:tcBorders>
              <w:top w:val="single" w:color="000000" w:sz="4" w:space="0"/>
              <w:left w:val="single" w:color="000000" w:sz="4" w:space="0"/>
              <w:bottom w:val="single" w:color="000000" w:sz="4" w:space="0"/>
              <w:right w:val="single" w:color="000000" w:sz="4" w:space="0"/>
            </w:tcBorders>
            <w:noWrap/>
            <w:vAlign w:val="center"/>
          </w:tcPr>
          <w:p w14:paraId="70BD5051">
            <w:pPr>
              <w:widowControl/>
              <w:spacing w:line="360" w:lineRule="auto"/>
              <w:jc w:val="center"/>
              <w:textAlignment w:val="center"/>
              <w:rPr>
                <w:rFonts w:hint="eastAsia" w:ascii="宋体" w:hAnsi="宋体" w:cs="宋体"/>
                <w:color w:val="auto"/>
                <w:kern w:val="0"/>
                <w:sz w:val="24"/>
                <w:szCs w:val="24"/>
                <w:highlight w:val="none"/>
                <w:lang w:bidi="ar"/>
              </w:rPr>
            </w:pPr>
            <w:r>
              <w:rPr>
                <w:rFonts w:hint="eastAsia" w:ascii="宋体" w:hAnsi="宋体"/>
                <w:color w:val="auto"/>
                <w:sz w:val="24"/>
                <w:szCs w:val="24"/>
                <w:highlight w:val="none"/>
              </w:rPr>
              <w:t xml:space="preserve">46,887,878.14 </w:t>
            </w:r>
          </w:p>
        </w:tc>
      </w:tr>
    </w:tbl>
    <w:p w14:paraId="7B3A6BE4">
      <w:pPr>
        <w:pStyle w:val="6"/>
        <w:tabs>
          <w:tab w:val="left" w:pos="8360"/>
        </w:tabs>
        <w:spacing w:line="360" w:lineRule="auto"/>
        <w:ind w:firstLine="482" w:firstLineChars="200"/>
        <w:jc w:val="left"/>
        <w:rPr>
          <w:rFonts w:hint="eastAsia" w:hAnsi="宋体"/>
          <w:b/>
          <w:color w:val="auto"/>
          <w:sz w:val="24"/>
          <w:szCs w:val="24"/>
          <w:highlight w:val="none"/>
        </w:rPr>
      </w:pPr>
      <w:r>
        <w:rPr>
          <w:rFonts w:hint="eastAsia" w:hAnsi="宋体"/>
          <w:b/>
          <w:color w:val="auto"/>
          <w:sz w:val="24"/>
          <w:szCs w:val="24"/>
          <w:highlight w:val="none"/>
        </w:rPr>
        <w:t>注：</w:t>
      </w:r>
    </w:p>
    <w:p w14:paraId="0EDD58A0">
      <w:pPr>
        <w:pStyle w:val="6"/>
        <w:tabs>
          <w:tab w:val="left" w:pos="8360"/>
        </w:tabs>
        <w:spacing w:line="360" w:lineRule="auto"/>
        <w:ind w:firstLine="482" w:firstLineChars="200"/>
        <w:jc w:val="left"/>
        <w:rPr>
          <w:rFonts w:hint="eastAsia" w:hAnsi="宋体"/>
          <w:b/>
          <w:color w:val="auto"/>
          <w:sz w:val="24"/>
          <w:szCs w:val="24"/>
          <w:highlight w:val="none"/>
        </w:rPr>
      </w:pPr>
      <w:r>
        <w:rPr>
          <w:rFonts w:hint="eastAsia" w:hAnsi="宋体"/>
          <w:b/>
          <w:color w:val="auto"/>
          <w:sz w:val="24"/>
          <w:szCs w:val="24"/>
          <w:highlight w:val="none"/>
        </w:rPr>
        <w:t>*1、本项目只有一个合同包，</w:t>
      </w:r>
      <w:r>
        <w:rPr>
          <w:rFonts w:hint="eastAsia" w:hAnsi="宋体" w:cs="宋体"/>
          <w:b/>
          <w:color w:val="auto"/>
          <w:sz w:val="24"/>
          <w:szCs w:val="24"/>
          <w:highlight w:val="none"/>
        </w:rPr>
        <w:t>投标人</w:t>
      </w:r>
      <w:r>
        <w:rPr>
          <w:rFonts w:hint="eastAsia" w:hAnsi="宋体"/>
          <w:b/>
          <w:color w:val="auto"/>
          <w:sz w:val="24"/>
          <w:szCs w:val="24"/>
          <w:highlight w:val="none"/>
        </w:rPr>
        <w:t>必须对合同包内所有品目号进行报价。否则将作无效投标处理。</w:t>
      </w:r>
    </w:p>
    <w:p w14:paraId="3054F3EB">
      <w:pPr>
        <w:pStyle w:val="6"/>
        <w:tabs>
          <w:tab w:val="left" w:pos="8360"/>
        </w:tabs>
        <w:spacing w:line="360" w:lineRule="auto"/>
        <w:ind w:firstLine="482" w:firstLineChars="200"/>
        <w:jc w:val="left"/>
        <w:rPr>
          <w:rFonts w:hint="eastAsia" w:hAnsi="宋体"/>
          <w:b/>
          <w:color w:val="auto"/>
          <w:sz w:val="24"/>
          <w:szCs w:val="24"/>
          <w:highlight w:val="none"/>
        </w:rPr>
      </w:pPr>
      <w:r>
        <w:rPr>
          <w:rFonts w:hint="eastAsia" w:hAnsi="宋体"/>
          <w:b/>
          <w:color w:val="auto"/>
          <w:sz w:val="24"/>
          <w:szCs w:val="24"/>
          <w:highlight w:val="none"/>
        </w:rPr>
        <w:t>*2、针对采购货物一览表所有货物，品目号1-1至1-10投标人投标产品需为同一个品牌产品，品目号1-11和1-16投标人投标产品需为同一个品牌产品，否则将作无效投标处理。</w:t>
      </w:r>
    </w:p>
    <w:p w14:paraId="596156DF">
      <w:pPr>
        <w:pStyle w:val="6"/>
        <w:tabs>
          <w:tab w:val="left" w:pos="8360"/>
        </w:tabs>
        <w:spacing w:line="360" w:lineRule="auto"/>
        <w:ind w:firstLine="482" w:firstLineChars="200"/>
        <w:jc w:val="left"/>
        <w:rPr>
          <w:rFonts w:hint="eastAsia" w:hAnsi="宋体"/>
          <w:b/>
          <w:color w:val="auto"/>
          <w:sz w:val="24"/>
          <w:szCs w:val="24"/>
          <w:highlight w:val="none"/>
        </w:rPr>
      </w:pPr>
      <w:r>
        <w:rPr>
          <w:rFonts w:hint="eastAsia" w:hAnsi="宋体"/>
          <w:b/>
          <w:color w:val="auto"/>
          <w:sz w:val="24"/>
          <w:szCs w:val="24"/>
          <w:highlight w:val="none"/>
        </w:rPr>
        <w:t>*3、</w:t>
      </w:r>
      <w:r>
        <w:rPr>
          <w:rFonts w:hint="eastAsia" w:hAnsi="宋体" w:cs="宋体"/>
          <w:b/>
          <w:color w:val="auto"/>
          <w:sz w:val="24"/>
          <w:szCs w:val="24"/>
          <w:highlight w:val="none"/>
        </w:rPr>
        <w:t>投标人</w:t>
      </w:r>
      <w:r>
        <w:rPr>
          <w:rFonts w:hint="eastAsia" w:hAnsi="宋体"/>
          <w:b/>
          <w:color w:val="auto"/>
          <w:sz w:val="24"/>
          <w:szCs w:val="24"/>
          <w:highlight w:val="none"/>
        </w:rPr>
        <w:t>须在</w:t>
      </w:r>
      <w:r>
        <w:rPr>
          <w:rFonts w:hint="eastAsia" w:hAnsi="宋体" w:cs="宋体"/>
          <w:b/>
          <w:color w:val="auto"/>
          <w:sz w:val="24"/>
          <w:szCs w:val="24"/>
          <w:highlight w:val="none"/>
        </w:rPr>
        <w:t>投标文件</w:t>
      </w:r>
      <w:r>
        <w:rPr>
          <w:rFonts w:hint="eastAsia" w:hAnsi="宋体"/>
          <w:b/>
          <w:color w:val="auto"/>
          <w:sz w:val="24"/>
          <w:szCs w:val="24"/>
          <w:highlight w:val="none"/>
        </w:rPr>
        <w:t>中提供书面承诺函：采购单位可调整各规格产品的实际供货数量。采购单位有权向厦门市政府机关事业单位和福建省内其他终端用户(合称为“使用单位”)进行供货，所需费用已包含在总报价中。</w:t>
      </w:r>
    </w:p>
    <w:p w14:paraId="12E7C13F">
      <w:pPr>
        <w:tabs>
          <w:tab w:val="left" w:pos="5130"/>
        </w:tabs>
        <w:spacing w:line="360" w:lineRule="auto"/>
        <w:ind w:firstLine="482" w:firstLineChars="200"/>
        <w:rPr>
          <w:rFonts w:hint="eastAsia" w:ascii="宋体" w:hAnsi="宋体"/>
          <w:color w:val="auto"/>
          <w:sz w:val="24"/>
          <w:szCs w:val="24"/>
          <w:highlight w:val="none"/>
        </w:rPr>
      </w:pPr>
      <w:r>
        <w:rPr>
          <w:rFonts w:hint="eastAsia" w:ascii="宋体" w:hAnsi="宋体" w:cs="宋体"/>
          <w:b/>
          <w:color w:val="auto"/>
          <w:sz w:val="24"/>
          <w:szCs w:val="24"/>
          <w:highlight w:val="none"/>
        </w:rPr>
        <w:t>*4、投标产品</w:t>
      </w:r>
      <w:r>
        <w:rPr>
          <w:rFonts w:hint="eastAsia" w:ascii="宋体" w:hAnsi="宋体"/>
          <w:b/>
          <w:color w:val="auto"/>
          <w:sz w:val="24"/>
          <w:szCs w:val="24"/>
          <w:highlight w:val="none"/>
        </w:rPr>
        <w:t>的包装规格(指每箱的包数)可与上表中的包装规格(指每箱的包数)不同，但各</w:t>
      </w:r>
      <w:r>
        <w:rPr>
          <w:rFonts w:hint="eastAsia" w:ascii="宋体" w:hAnsi="宋体" w:cs="宋体"/>
          <w:b/>
          <w:color w:val="auto"/>
          <w:sz w:val="24"/>
          <w:szCs w:val="24"/>
          <w:highlight w:val="none"/>
        </w:rPr>
        <w:t>投标人</w:t>
      </w:r>
      <w:r>
        <w:rPr>
          <w:rFonts w:hint="eastAsia" w:ascii="宋体" w:hAnsi="宋体"/>
          <w:b/>
          <w:color w:val="auto"/>
          <w:sz w:val="24"/>
          <w:szCs w:val="24"/>
          <w:highlight w:val="none"/>
        </w:rPr>
        <w:t>须统一按上表中的标准包装规格报价。</w:t>
      </w:r>
    </w:p>
    <w:p w14:paraId="1992823E">
      <w:pPr>
        <w:spacing w:line="360" w:lineRule="auto"/>
        <w:ind w:firstLine="482" w:firstLineChars="200"/>
        <w:rPr>
          <w:rFonts w:hint="eastAsia" w:ascii="宋体" w:hAnsi="宋体" w:cs="宋体"/>
          <w:b/>
          <w:color w:val="auto"/>
          <w:sz w:val="24"/>
          <w:szCs w:val="24"/>
          <w:highlight w:val="none"/>
        </w:rPr>
      </w:pPr>
    </w:p>
    <w:p w14:paraId="17E79A8D">
      <w:pPr>
        <w:numPr>
          <w:ilvl w:val="0"/>
          <w:numId w:val="3"/>
        </w:num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主要参数及要求</w:t>
      </w:r>
    </w:p>
    <w:p w14:paraId="32D910FA">
      <w:pPr>
        <w:pStyle w:val="19"/>
        <w:spacing w:line="360" w:lineRule="auto"/>
        <w:ind w:firstLine="640"/>
        <w:rPr>
          <w:rFonts w:hint="eastAsia" w:ascii="仿宋" w:hAnsi="仿宋" w:eastAsia="仿宋" w:cs="宋体"/>
          <w:color w:val="auto"/>
          <w:sz w:val="32"/>
          <w:szCs w:val="32"/>
          <w:highlight w:val="none"/>
        </w:rPr>
      </w:pPr>
      <w:r>
        <w:rPr>
          <w:rFonts w:hint="eastAsia" w:ascii="仿宋" w:hAnsi="仿宋" w:eastAsia="仿宋" w:cs="宋体"/>
          <w:color w:val="auto"/>
          <w:sz w:val="32"/>
          <w:szCs w:val="32"/>
          <w:highlight w:val="none"/>
        </w:rPr>
        <w:t>1-1至1-10招标参数要求：</w:t>
      </w:r>
    </w:p>
    <w:tbl>
      <w:tblPr>
        <w:tblStyle w:val="12"/>
        <w:tblW w:w="7650" w:type="dxa"/>
        <w:jc w:val="center"/>
        <w:tblLayout w:type="autofit"/>
        <w:tblCellMar>
          <w:top w:w="0" w:type="dxa"/>
          <w:left w:w="108" w:type="dxa"/>
          <w:bottom w:w="0" w:type="dxa"/>
          <w:right w:w="108" w:type="dxa"/>
        </w:tblCellMar>
      </w:tblPr>
      <w:tblGrid>
        <w:gridCol w:w="2230"/>
        <w:gridCol w:w="888"/>
        <w:gridCol w:w="1547"/>
        <w:gridCol w:w="874"/>
        <w:gridCol w:w="1302"/>
        <w:gridCol w:w="1276"/>
      </w:tblGrid>
      <w:tr w14:paraId="7E0C00F9">
        <w:tblPrEx>
          <w:tblCellMar>
            <w:top w:w="0" w:type="dxa"/>
            <w:left w:w="108" w:type="dxa"/>
            <w:bottom w:w="0" w:type="dxa"/>
            <w:right w:w="108" w:type="dxa"/>
          </w:tblCellMar>
        </w:tblPrEx>
        <w:trPr>
          <w:trHeight w:val="285" w:hRule="atLeast"/>
          <w:jc w:val="center"/>
        </w:trPr>
        <w:tc>
          <w:tcPr>
            <w:tcW w:w="7650" w:type="dxa"/>
            <w:gridSpan w:val="6"/>
            <w:tcBorders>
              <w:top w:val="single" w:color="auto" w:sz="4" w:space="0"/>
              <w:left w:val="single" w:color="auto" w:sz="4" w:space="0"/>
              <w:bottom w:val="single" w:color="auto" w:sz="4" w:space="0"/>
              <w:right w:val="single" w:color="000000" w:sz="4" w:space="0"/>
            </w:tcBorders>
            <w:noWrap/>
            <w:vAlign w:val="center"/>
          </w:tcPr>
          <w:p w14:paraId="302D3F5A">
            <w:pPr>
              <w:widowControl/>
              <w:jc w:val="center"/>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国家优等品标准（检测标准GB/T 24988-2020）</w:t>
            </w:r>
          </w:p>
        </w:tc>
      </w:tr>
      <w:tr w14:paraId="411829E5">
        <w:tblPrEx>
          <w:tblCellMar>
            <w:top w:w="0" w:type="dxa"/>
            <w:left w:w="108" w:type="dxa"/>
            <w:bottom w:w="0" w:type="dxa"/>
            <w:right w:w="108" w:type="dxa"/>
          </w:tblCellMar>
        </w:tblPrEx>
        <w:trPr>
          <w:trHeight w:val="300" w:hRule="atLeast"/>
          <w:jc w:val="center"/>
        </w:trPr>
        <w:tc>
          <w:tcPr>
            <w:tcW w:w="4198" w:type="dxa"/>
            <w:gridSpan w:val="3"/>
            <w:vMerge w:val="restart"/>
            <w:tcBorders>
              <w:top w:val="nil"/>
              <w:left w:val="single" w:color="auto" w:sz="8" w:space="0"/>
              <w:bottom w:val="single" w:color="000000" w:sz="8" w:space="0"/>
              <w:right w:val="single" w:color="000000" w:sz="8" w:space="0"/>
            </w:tcBorders>
            <w:vAlign w:val="center"/>
          </w:tcPr>
          <w:p w14:paraId="12F749D3">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*指标名称</w:t>
            </w:r>
          </w:p>
        </w:tc>
        <w:tc>
          <w:tcPr>
            <w:tcW w:w="874" w:type="dxa"/>
            <w:vMerge w:val="restart"/>
            <w:tcBorders>
              <w:top w:val="nil"/>
              <w:left w:val="single" w:color="auto" w:sz="8" w:space="0"/>
              <w:bottom w:val="single" w:color="000000" w:sz="8" w:space="0"/>
              <w:right w:val="single" w:color="auto" w:sz="8" w:space="0"/>
            </w:tcBorders>
            <w:vAlign w:val="center"/>
          </w:tcPr>
          <w:p w14:paraId="2A5DEC68">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单位</w:t>
            </w:r>
          </w:p>
        </w:tc>
        <w:tc>
          <w:tcPr>
            <w:tcW w:w="2578" w:type="dxa"/>
            <w:gridSpan w:val="2"/>
            <w:tcBorders>
              <w:top w:val="nil"/>
              <w:left w:val="nil"/>
              <w:bottom w:val="single" w:color="auto" w:sz="8" w:space="0"/>
              <w:right w:val="single" w:color="000000" w:sz="8" w:space="0"/>
            </w:tcBorders>
            <w:vAlign w:val="center"/>
          </w:tcPr>
          <w:p w14:paraId="041B848D">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规定</w:t>
            </w:r>
          </w:p>
        </w:tc>
      </w:tr>
      <w:tr w14:paraId="55DCE09E">
        <w:tblPrEx>
          <w:tblCellMar>
            <w:top w:w="0" w:type="dxa"/>
            <w:left w:w="108" w:type="dxa"/>
            <w:bottom w:w="0" w:type="dxa"/>
            <w:right w:w="108" w:type="dxa"/>
          </w:tblCellMar>
        </w:tblPrEx>
        <w:trPr>
          <w:trHeight w:val="90" w:hRule="atLeast"/>
          <w:jc w:val="center"/>
        </w:trPr>
        <w:tc>
          <w:tcPr>
            <w:tcW w:w="4198" w:type="dxa"/>
            <w:gridSpan w:val="3"/>
            <w:vMerge w:val="continue"/>
            <w:tcBorders>
              <w:top w:val="nil"/>
              <w:left w:val="single" w:color="auto" w:sz="8" w:space="0"/>
              <w:bottom w:val="single" w:color="000000" w:sz="8" w:space="0"/>
              <w:right w:val="single" w:color="000000" w:sz="8" w:space="0"/>
            </w:tcBorders>
            <w:vAlign w:val="center"/>
          </w:tcPr>
          <w:p w14:paraId="40BFD22E">
            <w:pPr>
              <w:widowControl/>
              <w:jc w:val="left"/>
              <w:rPr>
                <w:rFonts w:hint="eastAsia" w:ascii="宋体" w:hAnsi="宋体" w:cs="宋体"/>
                <w:b/>
                <w:bCs/>
                <w:color w:val="auto"/>
                <w:kern w:val="0"/>
                <w:sz w:val="22"/>
                <w:highlight w:val="none"/>
              </w:rPr>
            </w:pPr>
          </w:p>
        </w:tc>
        <w:tc>
          <w:tcPr>
            <w:tcW w:w="874" w:type="dxa"/>
            <w:vMerge w:val="continue"/>
            <w:tcBorders>
              <w:top w:val="nil"/>
              <w:left w:val="single" w:color="auto" w:sz="8" w:space="0"/>
              <w:bottom w:val="single" w:color="000000" w:sz="8" w:space="0"/>
              <w:right w:val="single" w:color="auto" w:sz="8" w:space="0"/>
            </w:tcBorders>
            <w:vAlign w:val="center"/>
          </w:tcPr>
          <w:p w14:paraId="209D375B">
            <w:pPr>
              <w:widowControl/>
              <w:jc w:val="left"/>
              <w:rPr>
                <w:rFonts w:hint="eastAsia" w:ascii="宋体" w:hAnsi="宋体" w:cs="宋体"/>
                <w:b/>
                <w:bCs/>
                <w:color w:val="auto"/>
                <w:kern w:val="0"/>
                <w:sz w:val="22"/>
                <w:highlight w:val="none"/>
              </w:rPr>
            </w:pPr>
          </w:p>
        </w:tc>
        <w:tc>
          <w:tcPr>
            <w:tcW w:w="2578" w:type="dxa"/>
            <w:gridSpan w:val="2"/>
            <w:tcBorders>
              <w:top w:val="single" w:color="auto" w:sz="8" w:space="0"/>
              <w:left w:val="nil"/>
              <w:bottom w:val="single" w:color="auto" w:sz="8" w:space="0"/>
              <w:right w:val="single" w:color="000000" w:sz="8" w:space="0"/>
            </w:tcBorders>
            <w:vAlign w:val="center"/>
          </w:tcPr>
          <w:p w14:paraId="2A339D82">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优等品</w:t>
            </w:r>
          </w:p>
        </w:tc>
      </w:tr>
      <w:tr w14:paraId="7536B929">
        <w:tblPrEx>
          <w:tblCellMar>
            <w:top w:w="0" w:type="dxa"/>
            <w:left w:w="108" w:type="dxa"/>
            <w:bottom w:w="0" w:type="dxa"/>
            <w:right w:w="108" w:type="dxa"/>
          </w:tblCellMar>
        </w:tblPrEx>
        <w:trPr>
          <w:trHeight w:val="300" w:hRule="atLeast"/>
          <w:jc w:val="center"/>
        </w:trPr>
        <w:tc>
          <w:tcPr>
            <w:tcW w:w="4198" w:type="dxa"/>
            <w:gridSpan w:val="3"/>
            <w:tcBorders>
              <w:top w:val="single" w:color="auto" w:sz="8" w:space="0"/>
              <w:left w:val="single" w:color="auto" w:sz="8" w:space="0"/>
              <w:bottom w:val="single" w:color="auto" w:sz="8" w:space="0"/>
              <w:right w:val="single" w:color="000000" w:sz="8" w:space="0"/>
            </w:tcBorders>
            <w:vAlign w:val="center"/>
          </w:tcPr>
          <w:p w14:paraId="7B5AD3B4">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*定量</w:t>
            </w:r>
          </w:p>
        </w:tc>
        <w:tc>
          <w:tcPr>
            <w:tcW w:w="874" w:type="dxa"/>
            <w:tcBorders>
              <w:top w:val="nil"/>
              <w:left w:val="nil"/>
              <w:bottom w:val="single" w:color="auto" w:sz="8" w:space="0"/>
              <w:right w:val="single" w:color="auto" w:sz="8" w:space="0"/>
            </w:tcBorders>
            <w:vAlign w:val="center"/>
          </w:tcPr>
          <w:p w14:paraId="3933F33F">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g/m²</w:t>
            </w:r>
          </w:p>
        </w:tc>
        <w:tc>
          <w:tcPr>
            <w:tcW w:w="1302" w:type="dxa"/>
            <w:tcBorders>
              <w:top w:val="nil"/>
              <w:left w:val="nil"/>
              <w:bottom w:val="single" w:color="auto" w:sz="8" w:space="0"/>
              <w:right w:val="single" w:color="auto" w:sz="8" w:space="0"/>
            </w:tcBorders>
            <w:vAlign w:val="center"/>
          </w:tcPr>
          <w:p w14:paraId="0A4C4A60">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70</w:t>
            </w:r>
          </w:p>
        </w:tc>
        <w:tc>
          <w:tcPr>
            <w:tcW w:w="1276" w:type="dxa"/>
            <w:tcBorders>
              <w:top w:val="nil"/>
              <w:left w:val="nil"/>
              <w:bottom w:val="single" w:color="auto" w:sz="8" w:space="0"/>
              <w:right w:val="single" w:color="auto" w:sz="8" w:space="0"/>
            </w:tcBorders>
            <w:vAlign w:val="center"/>
          </w:tcPr>
          <w:p w14:paraId="5878BFF7">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80</w:t>
            </w:r>
          </w:p>
        </w:tc>
      </w:tr>
      <w:tr w14:paraId="5BCAE70F">
        <w:tblPrEx>
          <w:tblCellMar>
            <w:top w:w="0" w:type="dxa"/>
            <w:left w:w="108" w:type="dxa"/>
            <w:bottom w:w="0" w:type="dxa"/>
            <w:right w:w="108" w:type="dxa"/>
          </w:tblCellMar>
        </w:tblPrEx>
        <w:trPr>
          <w:trHeight w:val="300" w:hRule="atLeast"/>
          <w:jc w:val="center"/>
        </w:trPr>
        <w:tc>
          <w:tcPr>
            <w:tcW w:w="4198" w:type="dxa"/>
            <w:gridSpan w:val="3"/>
            <w:tcBorders>
              <w:top w:val="single" w:color="auto" w:sz="8" w:space="0"/>
              <w:left w:val="single" w:color="auto" w:sz="8" w:space="0"/>
              <w:bottom w:val="single" w:color="auto" w:sz="8" w:space="0"/>
              <w:right w:val="single" w:color="000000" w:sz="8" w:space="0"/>
            </w:tcBorders>
            <w:vAlign w:val="center"/>
          </w:tcPr>
          <w:p w14:paraId="1ACF052E">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*定量偏差</w:t>
            </w:r>
          </w:p>
        </w:tc>
        <w:tc>
          <w:tcPr>
            <w:tcW w:w="874" w:type="dxa"/>
            <w:tcBorders>
              <w:top w:val="nil"/>
              <w:left w:val="nil"/>
              <w:bottom w:val="single" w:color="auto" w:sz="8" w:space="0"/>
              <w:right w:val="single" w:color="auto" w:sz="8" w:space="0"/>
            </w:tcBorders>
            <w:vAlign w:val="center"/>
          </w:tcPr>
          <w:p w14:paraId="020D3B8C">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w:t>
            </w:r>
          </w:p>
        </w:tc>
        <w:tc>
          <w:tcPr>
            <w:tcW w:w="2578" w:type="dxa"/>
            <w:gridSpan w:val="2"/>
            <w:tcBorders>
              <w:top w:val="single" w:color="auto" w:sz="8" w:space="0"/>
              <w:left w:val="nil"/>
              <w:bottom w:val="single" w:color="auto" w:sz="8" w:space="0"/>
              <w:right w:val="single" w:color="000000" w:sz="8" w:space="0"/>
            </w:tcBorders>
            <w:vAlign w:val="center"/>
          </w:tcPr>
          <w:p w14:paraId="2DF8FB8E">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±4</w:t>
            </w:r>
          </w:p>
        </w:tc>
      </w:tr>
      <w:tr w14:paraId="49C48362">
        <w:tblPrEx>
          <w:tblCellMar>
            <w:top w:w="0" w:type="dxa"/>
            <w:left w:w="108" w:type="dxa"/>
            <w:bottom w:w="0" w:type="dxa"/>
            <w:right w:w="108" w:type="dxa"/>
          </w:tblCellMar>
        </w:tblPrEx>
        <w:trPr>
          <w:trHeight w:val="315" w:hRule="atLeast"/>
          <w:jc w:val="center"/>
        </w:trPr>
        <w:tc>
          <w:tcPr>
            <w:tcW w:w="4198" w:type="dxa"/>
            <w:gridSpan w:val="3"/>
            <w:tcBorders>
              <w:top w:val="single" w:color="auto" w:sz="8" w:space="0"/>
              <w:left w:val="single" w:color="auto" w:sz="8" w:space="0"/>
              <w:bottom w:val="single" w:color="auto" w:sz="8" w:space="0"/>
              <w:right w:val="single" w:color="000000" w:sz="8" w:space="0"/>
            </w:tcBorders>
            <w:vAlign w:val="center"/>
          </w:tcPr>
          <w:p w14:paraId="7E45FD45">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*厚度≥</w:t>
            </w:r>
          </w:p>
        </w:tc>
        <w:tc>
          <w:tcPr>
            <w:tcW w:w="874" w:type="dxa"/>
            <w:tcBorders>
              <w:top w:val="nil"/>
              <w:left w:val="nil"/>
              <w:bottom w:val="single" w:color="auto" w:sz="8" w:space="0"/>
              <w:right w:val="single" w:color="auto" w:sz="8" w:space="0"/>
            </w:tcBorders>
            <w:vAlign w:val="center"/>
          </w:tcPr>
          <w:p w14:paraId="75553CE9">
            <w:pPr>
              <w:widowControl/>
              <w:rPr>
                <w:rFonts w:ascii="Calibri" w:hAnsi="Calibri" w:cs="Calibri"/>
                <w:b/>
                <w:bCs/>
                <w:color w:val="auto"/>
                <w:kern w:val="0"/>
                <w:sz w:val="22"/>
                <w:highlight w:val="none"/>
              </w:rPr>
            </w:pPr>
            <w:r>
              <w:rPr>
                <w:rFonts w:ascii="Calibri" w:hAnsi="Calibri" w:cs="Calibri"/>
                <w:b/>
                <w:bCs/>
                <w:color w:val="auto"/>
                <w:kern w:val="0"/>
                <w:sz w:val="22"/>
                <w:highlight w:val="none"/>
              </w:rPr>
              <w:t>μ</w:t>
            </w:r>
            <w:r>
              <w:rPr>
                <w:rFonts w:hint="eastAsia" w:ascii="宋体" w:hAnsi="宋体" w:cs="Calibri"/>
                <w:b/>
                <w:bCs/>
                <w:color w:val="auto"/>
                <w:kern w:val="0"/>
                <w:sz w:val="22"/>
                <w:highlight w:val="none"/>
              </w:rPr>
              <w:t>m</w:t>
            </w:r>
          </w:p>
        </w:tc>
        <w:tc>
          <w:tcPr>
            <w:tcW w:w="1302" w:type="dxa"/>
            <w:tcBorders>
              <w:top w:val="nil"/>
              <w:left w:val="nil"/>
              <w:bottom w:val="single" w:color="auto" w:sz="8" w:space="0"/>
              <w:right w:val="single" w:color="auto" w:sz="8" w:space="0"/>
            </w:tcBorders>
            <w:vAlign w:val="center"/>
          </w:tcPr>
          <w:p w14:paraId="492606CF">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92</w:t>
            </w:r>
          </w:p>
        </w:tc>
        <w:tc>
          <w:tcPr>
            <w:tcW w:w="1276" w:type="dxa"/>
            <w:tcBorders>
              <w:top w:val="nil"/>
              <w:left w:val="nil"/>
              <w:bottom w:val="single" w:color="auto" w:sz="8" w:space="0"/>
              <w:right w:val="single" w:color="auto" w:sz="8" w:space="0"/>
            </w:tcBorders>
            <w:vAlign w:val="center"/>
          </w:tcPr>
          <w:p w14:paraId="4FC0FF78">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103</w:t>
            </w:r>
          </w:p>
        </w:tc>
      </w:tr>
      <w:tr w14:paraId="61966A3F">
        <w:tblPrEx>
          <w:tblCellMar>
            <w:top w:w="0" w:type="dxa"/>
            <w:left w:w="108" w:type="dxa"/>
            <w:bottom w:w="0" w:type="dxa"/>
            <w:right w:w="108" w:type="dxa"/>
          </w:tblCellMar>
        </w:tblPrEx>
        <w:trPr>
          <w:trHeight w:val="300" w:hRule="atLeast"/>
          <w:jc w:val="center"/>
        </w:trPr>
        <w:tc>
          <w:tcPr>
            <w:tcW w:w="2230" w:type="dxa"/>
            <w:vMerge w:val="restart"/>
            <w:tcBorders>
              <w:top w:val="nil"/>
              <w:left w:val="single" w:color="auto" w:sz="8" w:space="0"/>
              <w:bottom w:val="single" w:color="000000" w:sz="8" w:space="0"/>
              <w:right w:val="single" w:color="auto" w:sz="8" w:space="0"/>
            </w:tcBorders>
            <w:vAlign w:val="center"/>
          </w:tcPr>
          <w:p w14:paraId="5EF32AC7">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*挺度</w:t>
            </w:r>
          </w:p>
        </w:tc>
        <w:tc>
          <w:tcPr>
            <w:tcW w:w="888" w:type="dxa"/>
            <w:vMerge w:val="restart"/>
            <w:tcBorders>
              <w:top w:val="nil"/>
              <w:left w:val="single" w:color="auto" w:sz="8" w:space="0"/>
              <w:bottom w:val="single" w:color="000000" w:sz="8" w:space="0"/>
              <w:right w:val="single" w:color="auto" w:sz="8" w:space="0"/>
            </w:tcBorders>
            <w:vAlign w:val="center"/>
          </w:tcPr>
          <w:p w14:paraId="775AFB80">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恒速弯曲法</w:t>
            </w:r>
          </w:p>
        </w:tc>
        <w:tc>
          <w:tcPr>
            <w:tcW w:w="1080" w:type="dxa"/>
            <w:tcBorders>
              <w:top w:val="nil"/>
              <w:left w:val="nil"/>
              <w:bottom w:val="single" w:color="auto" w:sz="8" w:space="0"/>
              <w:right w:val="single" w:color="auto" w:sz="8" w:space="0"/>
            </w:tcBorders>
            <w:vAlign w:val="center"/>
          </w:tcPr>
          <w:p w14:paraId="30FFAAA3">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纵向≥</w:t>
            </w:r>
          </w:p>
        </w:tc>
        <w:tc>
          <w:tcPr>
            <w:tcW w:w="874" w:type="dxa"/>
            <w:vMerge w:val="restart"/>
            <w:tcBorders>
              <w:top w:val="nil"/>
              <w:left w:val="single" w:color="auto" w:sz="8" w:space="0"/>
              <w:bottom w:val="single" w:color="000000" w:sz="8" w:space="0"/>
              <w:right w:val="single" w:color="auto" w:sz="8" w:space="0"/>
            </w:tcBorders>
            <w:vAlign w:val="center"/>
          </w:tcPr>
          <w:p w14:paraId="38191AF1">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mN</w:t>
            </w:r>
          </w:p>
        </w:tc>
        <w:tc>
          <w:tcPr>
            <w:tcW w:w="1302" w:type="dxa"/>
            <w:tcBorders>
              <w:top w:val="nil"/>
              <w:left w:val="nil"/>
              <w:bottom w:val="single" w:color="auto" w:sz="8" w:space="0"/>
              <w:right w:val="single" w:color="auto" w:sz="8" w:space="0"/>
            </w:tcBorders>
            <w:vAlign w:val="center"/>
          </w:tcPr>
          <w:p w14:paraId="0EBDCFA9">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75</w:t>
            </w:r>
          </w:p>
        </w:tc>
        <w:tc>
          <w:tcPr>
            <w:tcW w:w="1276" w:type="dxa"/>
            <w:tcBorders>
              <w:top w:val="nil"/>
              <w:left w:val="nil"/>
              <w:bottom w:val="single" w:color="auto" w:sz="8" w:space="0"/>
              <w:right w:val="single" w:color="auto" w:sz="8" w:space="0"/>
            </w:tcBorders>
            <w:vAlign w:val="center"/>
          </w:tcPr>
          <w:p w14:paraId="5195957A">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100</w:t>
            </w:r>
          </w:p>
        </w:tc>
      </w:tr>
      <w:tr w14:paraId="774FA39D">
        <w:tblPrEx>
          <w:tblCellMar>
            <w:top w:w="0" w:type="dxa"/>
            <w:left w:w="108" w:type="dxa"/>
            <w:bottom w:w="0" w:type="dxa"/>
            <w:right w:w="108" w:type="dxa"/>
          </w:tblCellMar>
        </w:tblPrEx>
        <w:trPr>
          <w:trHeight w:val="300" w:hRule="atLeast"/>
          <w:jc w:val="center"/>
        </w:trPr>
        <w:tc>
          <w:tcPr>
            <w:tcW w:w="2230" w:type="dxa"/>
            <w:vMerge w:val="continue"/>
            <w:tcBorders>
              <w:top w:val="nil"/>
              <w:left w:val="single" w:color="auto" w:sz="8" w:space="0"/>
              <w:bottom w:val="single" w:color="000000" w:sz="8" w:space="0"/>
              <w:right w:val="single" w:color="auto" w:sz="8" w:space="0"/>
            </w:tcBorders>
            <w:vAlign w:val="center"/>
          </w:tcPr>
          <w:p w14:paraId="14D13728">
            <w:pPr>
              <w:widowControl/>
              <w:jc w:val="left"/>
              <w:rPr>
                <w:rFonts w:hint="eastAsia" w:ascii="宋体" w:hAnsi="宋体" w:cs="宋体"/>
                <w:b/>
                <w:bCs/>
                <w:color w:val="auto"/>
                <w:kern w:val="0"/>
                <w:sz w:val="22"/>
                <w:highlight w:val="none"/>
              </w:rPr>
            </w:pPr>
          </w:p>
        </w:tc>
        <w:tc>
          <w:tcPr>
            <w:tcW w:w="888" w:type="dxa"/>
            <w:vMerge w:val="continue"/>
            <w:tcBorders>
              <w:top w:val="nil"/>
              <w:left w:val="single" w:color="auto" w:sz="8" w:space="0"/>
              <w:bottom w:val="single" w:color="000000" w:sz="8" w:space="0"/>
              <w:right w:val="single" w:color="auto" w:sz="8" w:space="0"/>
            </w:tcBorders>
            <w:vAlign w:val="center"/>
          </w:tcPr>
          <w:p w14:paraId="73DC2AE2">
            <w:pPr>
              <w:widowControl/>
              <w:jc w:val="left"/>
              <w:rPr>
                <w:rFonts w:hint="eastAsia" w:ascii="宋体" w:hAnsi="宋体" w:cs="宋体"/>
                <w:b/>
                <w:bCs/>
                <w:color w:val="auto"/>
                <w:kern w:val="0"/>
                <w:sz w:val="22"/>
                <w:highlight w:val="none"/>
              </w:rPr>
            </w:pPr>
          </w:p>
        </w:tc>
        <w:tc>
          <w:tcPr>
            <w:tcW w:w="1080" w:type="dxa"/>
            <w:tcBorders>
              <w:top w:val="nil"/>
              <w:left w:val="nil"/>
              <w:bottom w:val="single" w:color="auto" w:sz="8" w:space="0"/>
              <w:right w:val="single" w:color="auto" w:sz="8" w:space="0"/>
            </w:tcBorders>
            <w:vAlign w:val="center"/>
          </w:tcPr>
          <w:p w14:paraId="4F1AAD45">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横向≥</w:t>
            </w:r>
          </w:p>
        </w:tc>
        <w:tc>
          <w:tcPr>
            <w:tcW w:w="874" w:type="dxa"/>
            <w:vMerge w:val="continue"/>
            <w:tcBorders>
              <w:top w:val="nil"/>
              <w:left w:val="single" w:color="auto" w:sz="8" w:space="0"/>
              <w:bottom w:val="single" w:color="000000" w:sz="8" w:space="0"/>
              <w:right w:val="single" w:color="auto" w:sz="8" w:space="0"/>
            </w:tcBorders>
            <w:vAlign w:val="center"/>
          </w:tcPr>
          <w:p w14:paraId="5DFF6C5F">
            <w:pPr>
              <w:widowControl/>
              <w:jc w:val="left"/>
              <w:rPr>
                <w:rFonts w:hint="eastAsia" w:ascii="宋体" w:hAnsi="宋体" w:cs="宋体"/>
                <w:b/>
                <w:bCs/>
                <w:color w:val="auto"/>
                <w:kern w:val="0"/>
                <w:sz w:val="22"/>
                <w:highlight w:val="none"/>
              </w:rPr>
            </w:pPr>
          </w:p>
        </w:tc>
        <w:tc>
          <w:tcPr>
            <w:tcW w:w="1302" w:type="dxa"/>
            <w:tcBorders>
              <w:top w:val="nil"/>
              <w:left w:val="nil"/>
              <w:bottom w:val="single" w:color="auto" w:sz="8" w:space="0"/>
              <w:right w:val="single" w:color="auto" w:sz="8" w:space="0"/>
            </w:tcBorders>
            <w:vAlign w:val="center"/>
          </w:tcPr>
          <w:p w14:paraId="6FD8D853">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32</w:t>
            </w:r>
          </w:p>
        </w:tc>
        <w:tc>
          <w:tcPr>
            <w:tcW w:w="1276" w:type="dxa"/>
            <w:tcBorders>
              <w:top w:val="nil"/>
              <w:left w:val="nil"/>
              <w:bottom w:val="single" w:color="auto" w:sz="8" w:space="0"/>
              <w:right w:val="single" w:color="auto" w:sz="8" w:space="0"/>
            </w:tcBorders>
            <w:vAlign w:val="center"/>
          </w:tcPr>
          <w:p w14:paraId="2E436504">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42</w:t>
            </w:r>
          </w:p>
        </w:tc>
      </w:tr>
      <w:tr w14:paraId="5E78B751">
        <w:tblPrEx>
          <w:tblCellMar>
            <w:top w:w="0" w:type="dxa"/>
            <w:left w:w="108" w:type="dxa"/>
            <w:bottom w:w="0" w:type="dxa"/>
            <w:right w:w="108" w:type="dxa"/>
          </w:tblCellMar>
        </w:tblPrEx>
        <w:trPr>
          <w:trHeight w:val="300" w:hRule="atLeast"/>
          <w:jc w:val="center"/>
        </w:trPr>
        <w:tc>
          <w:tcPr>
            <w:tcW w:w="4198" w:type="dxa"/>
            <w:gridSpan w:val="3"/>
            <w:tcBorders>
              <w:top w:val="single" w:color="auto" w:sz="8" w:space="0"/>
              <w:left w:val="single" w:color="auto" w:sz="8" w:space="0"/>
              <w:bottom w:val="single" w:color="auto" w:sz="8" w:space="0"/>
              <w:right w:val="single" w:color="000000" w:sz="8" w:space="0"/>
            </w:tcBorders>
            <w:vAlign w:val="center"/>
          </w:tcPr>
          <w:p w14:paraId="0FA1A7E0">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*平滑度（两面均）≥</w:t>
            </w:r>
          </w:p>
        </w:tc>
        <w:tc>
          <w:tcPr>
            <w:tcW w:w="874" w:type="dxa"/>
            <w:tcBorders>
              <w:top w:val="nil"/>
              <w:left w:val="nil"/>
              <w:bottom w:val="single" w:color="auto" w:sz="8" w:space="0"/>
              <w:right w:val="single" w:color="auto" w:sz="8" w:space="0"/>
            </w:tcBorders>
            <w:vAlign w:val="center"/>
          </w:tcPr>
          <w:p w14:paraId="59BC1DD3">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s</w:t>
            </w:r>
          </w:p>
        </w:tc>
        <w:tc>
          <w:tcPr>
            <w:tcW w:w="2578" w:type="dxa"/>
            <w:gridSpan w:val="2"/>
            <w:tcBorders>
              <w:top w:val="single" w:color="auto" w:sz="8" w:space="0"/>
              <w:left w:val="nil"/>
              <w:bottom w:val="single" w:color="auto" w:sz="8" w:space="0"/>
              <w:right w:val="single" w:color="000000" w:sz="8" w:space="0"/>
            </w:tcBorders>
            <w:vAlign w:val="center"/>
          </w:tcPr>
          <w:p w14:paraId="62BE83F5">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18</w:t>
            </w:r>
          </w:p>
        </w:tc>
      </w:tr>
      <w:tr w14:paraId="26F6BB50">
        <w:tblPrEx>
          <w:tblCellMar>
            <w:top w:w="0" w:type="dxa"/>
            <w:left w:w="108" w:type="dxa"/>
            <w:bottom w:w="0" w:type="dxa"/>
            <w:right w:w="108" w:type="dxa"/>
          </w:tblCellMar>
        </w:tblPrEx>
        <w:trPr>
          <w:trHeight w:val="300" w:hRule="atLeast"/>
          <w:jc w:val="center"/>
        </w:trPr>
        <w:tc>
          <w:tcPr>
            <w:tcW w:w="4198" w:type="dxa"/>
            <w:gridSpan w:val="3"/>
            <w:tcBorders>
              <w:top w:val="single" w:color="auto" w:sz="8" w:space="0"/>
              <w:left w:val="single" w:color="auto" w:sz="8" w:space="0"/>
              <w:bottom w:val="single" w:color="auto" w:sz="8" w:space="0"/>
              <w:right w:val="single" w:color="000000" w:sz="8" w:space="0"/>
            </w:tcBorders>
            <w:vAlign w:val="center"/>
          </w:tcPr>
          <w:p w14:paraId="61F3D863">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*不透明度≥</w:t>
            </w:r>
          </w:p>
        </w:tc>
        <w:tc>
          <w:tcPr>
            <w:tcW w:w="874" w:type="dxa"/>
            <w:tcBorders>
              <w:top w:val="nil"/>
              <w:left w:val="nil"/>
              <w:bottom w:val="single" w:color="auto" w:sz="8" w:space="0"/>
              <w:right w:val="single" w:color="auto" w:sz="8" w:space="0"/>
            </w:tcBorders>
            <w:vAlign w:val="center"/>
          </w:tcPr>
          <w:p w14:paraId="34173875">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w:t>
            </w:r>
          </w:p>
        </w:tc>
        <w:tc>
          <w:tcPr>
            <w:tcW w:w="1302" w:type="dxa"/>
            <w:tcBorders>
              <w:top w:val="nil"/>
              <w:left w:val="nil"/>
              <w:bottom w:val="single" w:color="auto" w:sz="8" w:space="0"/>
              <w:right w:val="single" w:color="auto" w:sz="4" w:space="0"/>
            </w:tcBorders>
            <w:vAlign w:val="center"/>
          </w:tcPr>
          <w:p w14:paraId="6CC00CA5">
            <w:pPr>
              <w:widowControl/>
              <w:jc w:val="righ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91</w:t>
            </w:r>
          </w:p>
        </w:tc>
        <w:tc>
          <w:tcPr>
            <w:tcW w:w="1276" w:type="dxa"/>
            <w:tcBorders>
              <w:top w:val="nil"/>
              <w:left w:val="nil"/>
              <w:bottom w:val="single" w:color="auto" w:sz="8" w:space="0"/>
              <w:right w:val="single" w:color="auto" w:sz="8" w:space="0"/>
            </w:tcBorders>
            <w:vAlign w:val="center"/>
          </w:tcPr>
          <w:p w14:paraId="747F4EFD">
            <w:pPr>
              <w:widowControl/>
              <w:jc w:val="righ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93</w:t>
            </w:r>
          </w:p>
        </w:tc>
      </w:tr>
      <w:tr w14:paraId="7D90766A">
        <w:tblPrEx>
          <w:tblCellMar>
            <w:top w:w="0" w:type="dxa"/>
            <w:left w:w="108" w:type="dxa"/>
            <w:bottom w:w="0" w:type="dxa"/>
            <w:right w:w="108" w:type="dxa"/>
          </w:tblCellMar>
        </w:tblPrEx>
        <w:trPr>
          <w:trHeight w:val="300" w:hRule="atLeast"/>
          <w:jc w:val="center"/>
        </w:trPr>
        <w:tc>
          <w:tcPr>
            <w:tcW w:w="4198" w:type="dxa"/>
            <w:gridSpan w:val="3"/>
            <w:tcBorders>
              <w:top w:val="single" w:color="auto" w:sz="8" w:space="0"/>
              <w:left w:val="single" w:color="auto" w:sz="8" w:space="0"/>
              <w:bottom w:val="single" w:color="auto" w:sz="8" w:space="0"/>
              <w:right w:val="single" w:color="000000" w:sz="8" w:space="0"/>
            </w:tcBorders>
            <w:vAlign w:val="center"/>
          </w:tcPr>
          <w:p w14:paraId="57CF9911">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D65亮度 ≤</w:t>
            </w:r>
          </w:p>
        </w:tc>
        <w:tc>
          <w:tcPr>
            <w:tcW w:w="874" w:type="dxa"/>
            <w:tcBorders>
              <w:top w:val="nil"/>
              <w:left w:val="nil"/>
              <w:bottom w:val="single" w:color="auto" w:sz="8" w:space="0"/>
              <w:right w:val="single" w:color="auto" w:sz="8" w:space="0"/>
            </w:tcBorders>
            <w:vAlign w:val="center"/>
          </w:tcPr>
          <w:p w14:paraId="28354FEF">
            <w:pPr>
              <w:widowControl/>
              <w:rPr>
                <w:rFonts w:hint="eastAsia" w:ascii="宋体" w:hAnsi="宋体" w:cs="宋体"/>
                <w:color w:val="auto"/>
                <w:kern w:val="0"/>
                <w:sz w:val="22"/>
                <w:highlight w:val="none"/>
              </w:rPr>
            </w:pPr>
            <w:r>
              <w:rPr>
                <w:rFonts w:hint="eastAsia" w:ascii="宋体" w:hAnsi="宋体" w:cs="宋体"/>
                <w:color w:val="auto"/>
                <w:kern w:val="0"/>
                <w:sz w:val="22"/>
                <w:highlight w:val="none"/>
              </w:rPr>
              <w:t>%</w:t>
            </w:r>
          </w:p>
        </w:tc>
        <w:tc>
          <w:tcPr>
            <w:tcW w:w="2578" w:type="dxa"/>
            <w:gridSpan w:val="2"/>
            <w:tcBorders>
              <w:top w:val="single" w:color="auto" w:sz="8" w:space="0"/>
              <w:left w:val="nil"/>
              <w:bottom w:val="single" w:color="auto" w:sz="8" w:space="0"/>
              <w:right w:val="single" w:color="000000" w:sz="8" w:space="0"/>
            </w:tcBorders>
            <w:vAlign w:val="center"/>
          </w:tcPr>
          <w:p w14:paraId="332EE4C4">
            <w:pPr>
              <w:widowControl/>
              <w:rPr>
                <w:rFonts w:hint="eastAsia" w:ascii="宋体" w:hAnsi="宋体" w:cs="宋体"/>
                <w:color w:val="auto"/>
                <w:kern w:val="0"/>
                <w:sz w:val="22"/>
                <w:highlight w:val="none"/>
              </w:rPr>
            </w:pPr>
            <w:r>
              <w:rPr>
                <w:rFonts w:hint="eastAsia" w:ascii="宋体" w:hAnsi="宋体" w:cs="宋体"/>
                <w:color w:val="auto"/>
                <w:kern w:val="0"/>
                <w:sz w:val="22"/>
                <w:highlight w:val="none"/>
              </w:rPr>
              <w:t>95</w:t>
            </w:r>
          </w:p>
        </w:tc>
      </w:tr>
      <w:tr w14:paraId="2ECA3C5B">
        <w:tblPrEx>
          <w:tblCellMar>
            <w:top w:w="0" w:type="dxa"/>
            <w:left w:w="108" w:type="dxa"/>
            <w:bottom w:w="0" w:type="dxa"/>
            <w:right w:w="108" w:type="dxa"/>
          </w:tblCellMar>
        </w:tblPrEx>
        <w:trPr>
          <w:trHeight w:val="915" w:hRule="atLeast"/>
          <w:jc w:val="center"/>
        </w:trPr>
        <w:tc>
          <w:tcPr>
            <w:tcW w:w="3118" w:type="dxa"/>
            <w:gridSpan w:val="2"/>
            <w:vMerge w:val="restart"/>
            <w:tcBorders>
              <w:top w:val="single" w:color="auto" w:sz="8" w:space="0"/>
              <w:left w:val="single" w:color="auto" w:sz="8" w:space="0"/>
              <w:bottom w:val="single" w:color="000000" w:sz="8" w:space="0"/>
              <w:right w:val="single" w:color="000000" w:sz="8" w:space="0"/>
            </w:tcBorders>
            <w:vAlign w:val="center"/>
          </w:tcPr>
          <w:p w14:paraId="7756BD62">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*尘埃度</w:t>
            </w:r>
          </w:p>
        </w:tc>
        <w:tc>
          <w:tcPr>
            <w:tcW w:w="1080" w:type="dxa"/>
            <w:tcBorders>
              <w:top w:val="nil"/>
              <w:left w:val="nil"/>
              <w:bottom w:val="single" w:color="auto" w:sz="8" w:space="0"/>
              <w:right w:val="single" w:color="auto" w:sz="8" w:space="0"/>
            </w:tcBorders>
            <w:vAlign w:val="center"/>
          </w:tcPr>
          <w:p w14:paraId="5F24AED5">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0.3mm</w:t>
            </w:r>
            <w:r>
              <w:rPr>
                <w:rFonts w:hint="eastAsia" w:ascii="宋体" w:hAnsi="宋体" w:cs="宋体"/>
                <w:b/>
                <w:bCs/>
                <w:color w:val="auto"/>
                <w:kern w:val="0"/>
                <w:sz w:val="22"/>
                <w:highlight w:val="none"/>
                <w:vertAlign w:val="superscript"/>
              </w:rPr>
              <w:t>2</w:t>
            </w:r>
            <w:r>
              <w:rPr>
                <w:rFonts w:hint="eastAsia" w:ascii="宋体" w:hAnsi="宋体" w:cs="宋体"/>
                <w:b/>
                <w:bCs/>
                <w:color w:val="auto"/>
                <w:kern w:val="0"/>
                <w:sz w:val="22"/>
                <w:highlight w:val="none"/>
              </w:rPr>
              <w:t>-1.5mm</w:t>
            </w:r>
            <w:r>
              <w:rPr>
                <w:rFonts w:hint="eastAsia" w:ascii="宋体" w:hAnsi="宋体" w:cs="宋体"/>
                <w:b/>
                <w:bCs/>
                <w:color w:val="auto"/>
                <w:kern w:val="0"/>
                <w:sz w:val="22"/>
                <w:highlight w:val="none"/>
                <w:vertAlign w:val="superscript"/>
              </w:rPr>
              <w:t>2</w:t>
            </w:r>
            <w:r>
              <w:rPr>
                <w:rFonts w:hint="eastAsia" w:ascii="宋体" w:hAnsi="宋体" w:cs="宋体"/>
                <w:b/>
                <w:bCs/>
                <w:color w:val="auto"/>
                <w:kern w:val="0"/>
                <w:sz w:val="22"/>
                <w:highlight w:val="none"/>
              </w:rPr>
              <w:t xml:space="preserve"> ≤</w:t>
            </w:r>
          </w:p>
        </w:tc>
        <w:tc>
          <w:tcPr>
            <w:tcW w:w="874" w:type="dxa"/>
            <w:vMerge w:val="restart"/>
            <w:tcBorders>
              <w:top w:val="nil"/>
              <w:left w:val="single" w:color="auto" w:sz="8" w:space="0"/>
              <w:bottom w:val="single" w:color="000000" w:sz="8" w:space="0"/>
              <w:right w:val="single" w:color="auto" w:sz="8" w:space="0"/>
            </w:tcBorders>
            <w:vAlign w:val="center"/>
          </w:tcPr>
          <w:p w14:paraId="6385B7AA">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个/m</w:t>
            </w:r>
            <w:r>
              <w:rPr>
                <w:rFonts w:hint="eastAsia" w:ascii="宋体" w:hAnsi="宋体" w:cs="宋体"/>
                <w:b/>
                <w:bCs/>
                <w:color w:val="auto"/>
                <w:kern w:val="0"/>
                <w:sz w:val="22"/>
                <w:highlight w:val="none"/>
                <w:vertAlign w:val="superscript"/>
              </w:rPr>
              <w:t>2</w:t>
            </w:r>
          </w:p>
        </w:tc>
        <w:tc>
          <w:tcPr>
            <w:tcW w:w="2578" w:type="dxa"/>
            <w:gridSpan w:val="2"/>
            <w:tcBorders>
              <w:top w:val="single" w:color="auto" w:sz="8" w:space="0"/>
              <w:left w:val="nil"/>
              <w:bottom w:val="single" w:color="auto" w:sz="8" w:space="0"/>
              <w:right w:val="single" w:color="000000" w:sz="8" w:space="0"/>
            </w:tcBorders>
            <w:vAlign w:val="center"/>
          </w:tcPr>
          <w:p w14:paraId="6BE7A9F6">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16</w:t>
            </w:r>
          </w:p>
        </w:tc>
      </w:tr>
      <w:tr w14:paraId="25D2E1FC">
        <w:tblPrEx>
          <w:tblCellMar>
            <w:top w:w="0" w:type="dxa"/>
            <w:left w:w="108" w:type="dxa"/>
            <w:bottom w:w="0" w:type="dxa"/>
            <w:right w:w="108" w:type="dxa"/>
          </w:tblCellMar>
        </w:tblPrEx>
        <w:trPr>
          <w:trHeight w:val="330" w:hRule="atLeast"/>
          <w:jc w:val="center"/>
        </w:trPr>
        <w:tc>
          <w:tcPr>
            <w:tcW w:w="3118" w:type="dxa"/>
            <w:gridSpan w:val="2"/>
            <w:vMerge w:val="continue"/>
            <w:tcBorders>
              <w:top w:val="single" w:color="auto" w:sz="8" w:space="0"/>
              <w:left w:val="single" w:color="auto" w:sz="8" w:space="0"/>
              <w:bottom w:val="single" w:color="000000" w:sz="8" w:space="0"/>
              <w:right w:val="single" w:color="000000" w:sz="8" w:space="0"/>
            </w:tcBorders>
            <w:vAlign w:val="center"/>
          </w:tcPr>
          <w:p w14:paraId="2B440189">
            <w:pPr>
              <w:widowControl/>
              <w:jc w:val="left"/>
              <w:rPr>
                <w:rFonts w:hint="eastAsia" w:ascii="宋体" w:hAnsi="宋体" w:cs="宋体"/>
                <w:b/>
                <w:bCs/>
                <w:color w:val="auto"/>
                <w:kern w:val="0"/>
                <w:sz w:val="22"/>
                <w:highlight w:val="none"/>
              </w:rPr>
            </w:pPr>
          </w:p>
        </w:tc>
        <w:tc>
          <w:tcPr>
            <w:tcW w:w="1080" w:type="dxa"/>
            <w:tcBorders>
              <w:top w:val="nil"/>
              <w:left w:val="nil"/>
              <w:bottom w:val="single" w:color="auto" w:sz="8" w:space="0"/>
              <w:right w:val="single" w:color="auto" w:sz="8" w:space="0"/>
            </w:tcBorders>
            <w:vAlign w:val="center"/>
          </w:tcPr>
          <w:p w14:paraId="2495BF40">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＞1.5mm</w:t>
            </w:r>
            <w:r>
              <w:rPr>
                <w:rFonts w:hint="eastAsia" w:ascii="宋体" w:hAnsi="宋体" w:cs="宋体"/>
                <w:b/>
                <w:bCs/>
                <w:color w:val="auto"/>
                <w:kern w:val="0"/>
                <w:sz w:val="22"/>
                <w:highlight w:val="none"/>
                <w:vertAlign w:val="superscript"/>
              </w:rPr>
              <w:t>2</w:t>
            </w:r>
          </w:p>
        </w:tc>
        <w:tc>
          <w:tcPr>
            <w:tcW w:w="874" w:type="dxa"/>
            <w:vMerge w:val="continue"/>
            <w:tcBorders>
              <w:top w:val="nil"/>
              <w:left w:val="single" w:color="auto" w:sz="8" w:space="0"/>
              <w:bottom w:val="single" w:color="000000" w:sz="8" w:space="0"/>
              <w:right w:val="single" w:color="auto" w:sz="8" w:space="0"/>
            </w:tcBorders>
            <w:vAlign w:val="center"/>
          </w:tcPr>
          <w:p w14:paraId="742103BF">
            <w:pPr>
              <w:widowControl/>
              <w:jc w:val="left"/>
              <w:rPr>
                <w:rFonts w:hint="eastAsia" w:ascii="宋体" w:hAnsi="宋体" w:cs="宋体"/>
                <w:b/>
                <w:bCs/>
                <w:color w:val="auto"/>
                <w:kern w:val="0"/>
                <w:sz w:val="22"/>
                <w:highlight w:val="none"/>
              </w:rPr>
            </w:pPr>
          </w:p>
        </w:tc>
        <w:tc>
          <w:tcPr>
            <w:tcW w:w="2578" w:type="dxa"/>
            <w:gridSpan w:val="2"/>
            <w:tcBorders>
              <w:top w:val="single" w:color="auto" w:sz="8" w:space="0"/>
              <w:left w:val="nil"/>
              <w:bottom w:val="single" w:color="auto" w:sz="8" w:space="0"/>
              <w:right w:val="single" w:color="000000" w:sz="8" w:space="0"/>
            </w:tcBorders>
            <w:vAlign w:val="center"/>
          </w:tcPr>
          <w:p w14:paraId="216DCBED">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不应有</w:t>
            </w:r>
          </w:p>
        </w:tc>
      </w:tr>
      <w:tr w14:paraId="38138D2E">
        <w:tblPrEx>
          <w:tblCellMar>
            <w:top w:w="0" w:type="dxa"/>
            <w:left w:w="108" w:type="dxa"/>
            <w:bottom w:w="0" w:type="dxa"/>
            <w:right w:w="108" w:type="dxa"/>
          </w:tblCellMar>
        </w:tblPrEx>
        <w:trPr>
          <w:trHeight w:val="300" w:hRule="atLeast"/>
          <w:jc w:val="center"/>
        </w:trPr>
        <w:tc>
          <w:tcPr>
            <w:tcW w:w="4198" w:type="dxa"/>
            <w:gridSpan w:val="3"/>
            <w:tcBorders>
              <w:top w:val="single" w:color="auto" w:sz="8" w:space="0"/>
              <w:left w:val="single" w:color="auto" w:sz="8" w:space="0"/>
              <w:bottom w:val="single" w:color="auto" w:sz="8" w:space="0"/>
              <w:right w:val="single" w:color="000000" w:sz="8" w:space="0"/>
            </w:tcBorders>
            <w:vAlign w:val="center"/>
          </w:tcPr>
          <w:p w14:paraId="7051E577">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*交货水分</w:t>
            </w:r>
          </w:p>
        </w:tc>
        <w:tc>
          <w:tcPr>
            <w:tcW w:w="874" w:type="dxa"/>
            <w:tcBorders>
              <w:top w:val="nil"/>
              <w:left w:val="nil"/>
              <w:bottom w:val="single" w:color="auto" w:sz="8" w:space="0"/>
              <w:right w:val="single" w:color="auto" w:sz="8" w:space="0"/>
            </w:tcBorders>
            <w:vAlign w:val="center"/>
          </w:tcPr>
          <w:p w14:paraId="575F88E9">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w:t>
            </w:r>
          </w:p>
        </w:tc>
        <w:tc>
          <w:tcPr>
            <w:tcW w:w="2578" w:type="dxa"/>
            <w:gridSpan w:val="2"/>
            <w:tcBorders>
              <w:top w:val="single" w:color="auto" w:sz="8" w:space="0"/>
              <w:left w:val="nil"/>
              <w:bottom w:val="nil"/>
              <w:right w:val="single" w:color="000000" w:sz="8" w:space="0"/>
            </w:tcBorders>
            <w:vAlign w:val="center"/>
          </w:tcPr>
          <w:p w14:paraId="4F9E674A">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3.5-7.0</w:t>
            </w:r>
          </w:p>
        </w:tc>
      </w:tr>
      <w:tr w14:paraId="531C8AED">
        <w:tblPrEx>
          <w:tblCellMar>
            <w:top w:w="0" w:type="dxa"/>
            <w:left w:w="108" w:type="dxa"/>
            <w:bottom w:w="0" w:type="dxa"/>
            <w:right w:w="108" w:type="dxa"/>
          </w:tblCellMar>
        </w:tblPrEx>
        <w:trPr>
          <w:trHeight w:val="300" w:hRule="atLeast"/>
          <w:jc w:val="center"/>
        </w:trPr>
        <w:tc>
          <w:tcPr>
            <w:tcW w:w="4198" w:type="dxa"/>
            <w:gridSpan w:val="3"/>
            <w:tcBorders>
              <w:top w:val="single" w:color="auto" w:sz="8" w:space="0"/>
              <w:left w:val="single" w:color="auto" w:sz="8" w:space="0"/>
              <w:bottom w:val="single" w:color="auto" w:sz="8" w:space="0"/>
              <w:right w:val="single" w:color="000000" w:sz="8" w:space="0"/>
            </w:tcBorders>
            <w:vAlign w:val="center"/>
          </w:tcPr>
          <w:p w14:paraId="07C5204C">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*可勃值（C0bb60)</w:t>
            </w:r>
          </w:p>
        </w:tc>
        <w:tc>
          <w:tcPr>
            <w:tcW w:w="874" w:type="dxa"/>
            <w:tcBorders>
              <w:top w:val="nil"/>
              <w:left w:val="nil"/>
              <w:bottom w:val="single" w:color="auto" w:sz="8" w:space="0"/>
              <w:right w:val="nil"/>
            </w:tcBorders>
            <w:vAlign w:val="center"/>
          </w:tcPr>
          <w:p w14:paraId="044ECA21">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g/m²</w:t>
            </w:r>
          </w:p>
        </w:tc>
        <w:tc>
          <w:tcPr>
            <w:tcW w:w="1302" w:type="dxa"/>
            <w:tcBorders>
              <w:top w:val="single" w:color="auto" w:sz="4" w:space="0"/>
              <w:left w:val="single" w:color="auto" w:sz="4" w:space="0"/>
              <w:bottom w:val="single" w:color="auto" w:sz="4" w:space="0"/>
              <w:right w:val="single" w:color="auto" w:sz="4" w:space="0"/>
            </w:tcBorders>
            <w:vAlign w:val="center"/>
          </w:tcPr>
          <w:p w14:paraId="2520B39E">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≤35</w:t>
            </w:r>
          </w:p>
        </w:tc>
        <w:tc>
          <w:tcPr>
            <w:tcW w:w="1276" w:type="dxa"/>
            <w:tcBorders>
              <w:top w:val="single" w:color="auto" w:sz="4" w:space="0"/>
              <w:left w:val="nil"/>
              <w:bottom w:val="single" w:color="auto" w:sz="4" w:space="0"/>
              <w:right w:val="single" w:color="auto" w:sz="4" w:space="0"/>
            </w:tcBorders>
            <w:vAlign w:val="center"/>
          </w:tcPr>
          <w:p w14:paraId="693FF0D2">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≤45</w:t>
            </w:r>
          </w:p>
        </w:tc>
      </w:tr>
      <w:tr w14:paraId="72372E59">
        <w:tblPrEx>
          <w:tblCellMar>
            <w:top w:w="0" w:type="dxa"/>
            <w:left w:w="108" w:type="dxa"/>
            <w:bottom w:w="0" w:type="dxa"/>
            <w:right w:w="108" w:type="dxa"/>
          </w:tblCellMar>
        </w:tblPrEx>
        <w:trPr>
          <w:trHeight w:val="300" w:hRule="atLeast"/>
          <w:jc w:val="center"/>
        </w:trPr>
        <w:tc>
          <w:tcPr>
            <w:tcW w:w="2230" w:type="dxa"/>
            <w:tcBorders>
              <w:top w:val="nil"/>
              <w:left w:val="single" w:color="auto" w:sz="8" w:space="0"/>
              <w:bottom w:val="single" w:color="auto" w:sz="8" w:space="0"/>
              <w:right w:val="single" w:color="auto" w:sz="8" w:space="0"/>
            </w:tcBorders>
            <w:noWrap/>
            <w:vAlign w:val="center"/>
          </w:tcPr>
          <w:p w14:paraId="442F610D">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*净含量偏差（短缺量）</w:t>
            </w:r>
          </w:p>
        </w:tc>
        <w:tc>
          <w:tcPr>
            <w:tcW w:w="888" w:type="dxa"/>
            <w:tcBorders>
              <w:top w:val="nil"/>
              <w:left w:val="nil"/>
              <w:bottom w:val="single" w:color="auto" w:sz="8" w:space="0"/>
              <w:right w:val="single" w:color="auto" w:sz="8" w:space="0"/>
            </w:tcBorders>
            <w:noWrap/>
            <w:vAlign w:val="center"/>
          </w:tcPr>
          <w:p w14:paraId="156A6825">
            <w:pPr>
              <w:widowControl/>
              <w:jc w:val="left"/>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　</w:t>
            </w:r>
          </w:p>
        </w:tc>
        <w:tc>
          <w:tcPr>
            <w:tcW w:w="1080" w:type="dxa"/>
            <w:tcBorders>
              <w:top w:val="nil"/>
              <w:left w:val="nil"/>
              <w:bottom w:val="single" w:color="auto" w:sz="8" w:space="0"/>
              <w:right w:val="single" w:color="auto" w:sz="8" w:space="0"/>
            </w:tcBorders>
            <w:noWrap/>
            <w:vAlign w:val="center"/>
          </w:tcPr>
          <w:p w14:paraId="446316EC">
            <w:pPr>
              <w:widowControl/>
              <w:jc w:val="left"/>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　</w:t>
            </w:r>
          </w:p>
        </w:tc>
        <w:tc>
          <w:tcPr>
            <w:tcW w:w="874" w:type="dxa"/>
            <w:tcBorders>
              <w:top w:val="nil"/>
              <w:left w:val="nil"/>
              <w:bottom w:val="single" w:color="auto" w:sz="8" w:space="0"/>
              <w:right w:val="single" w:color="auto" w:sz="8" w:space="0"/>
            </w:tcBorders>
            <w:noWrap/>
            <w:vAlign w:val="center"/>
          </w:tcPr>
          <w:p w14:paraId="08D84E02">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张</w:t>
            </w:r>
          </w:p>
        </w:tc>
        <w:tc>
          <w:tcPr>
            <w:tcW w:w="2578" w:type="dxa"/>
            <w:gridSpan w:val="2"/>
            <w:tcBorders>
              <w:top w:val="nil"/>
              <w:left w:val="nil"/>
              <w:bottom w:val="single" w:color="auto" w:sz="8" w:space="0"/>
              <w:right w:val="single" w:color="000000" w:sz="8" w:space="0"/>
            </w:tcBorders>
            <w:noWrap/>
            <w:vAlign w:val="center"/>
          </w:tcPr>
          <w:p w14:paraId="73BC3509">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≤5</w:t>
            </w:r>
          </w:p>
        </w:tc>
      </w:tr>
    </w:tbl>
    <w:p w14:paraId="641118B6">
      <w:pPr>
        <w:pStyle w:val="19"/>
        <w:spacing w:line="360" w:lineRule="auto"/>
        <w:ind w:firstLine="640"/>
        <w:rPr>
          <w:rFonts w:hint="eastAsia" w:ascii="仿宋" w:hAnsi="仿宋" w:eastAsia="仿宋" w:cs="宋体"/>
          <w:color w:val="auto"/>
          <w:sz w:val="32"/>
          <w:szCs w:val="32"/>
          <w:highlight w:val="none"/>
        </w:rPr>
      </w:pPr>
      <w:r>
        <w:rPr>
          <w:rFonts w:hint="eastAsia" w:ascii="仿宋" w:hAnsi="仿宋" w:eastAsia="仿宋" w:cs="宋体"/>
          <w:color w:val="auto"/>
          <w:sz w:val="32"/>
          <w:szCs w:val="32"/>
          <w:highlight w:val="none"/>
        </w:rPr>
        <w:t>1-11至1-16招标参数要求：</w:t>
      </w:r>
    </w:p>
    <w:tbl>
      <w:tblPr>
        <w:tblStyle w:val="12"/>
        <w:tblW w:w="7650" w:type="dxa"/>
        <w:jc w:val="center"/>
        <w:tblLayout w:type="autofit"/>
        <w:tblCellMar>
          <w:top w:w="0" w:type="dxa"/>
          <w:left w:w="108" w:type="dxa"/>
          <w:bottom w:w="0" w:type="dxa"/>
          <w:right w:w="108" w:type="dxa"/>
        </w:tblCellMar>
      </w:tblPr>
      <w:tblGrid>
        <w:gridCol w:w="2230"/>
        <w:gridCol w:w="933"/>
        <w:gridCol w:w="1547"/>
        <w:gridCol w:w="910"/>
        <w:gridCol w:w="1221"/>
        <w:gridCol w:w="1276"/>
      </w:tblGrid>
      <w:tr w14:paraId="55765CF6">
        <w:tblPrEx>
          <w:tblCellMar>
            <w:top w:w="0" w:type="dxa"/>
            <w:left w:w="108" w:type="dxa"/>
            <w:bottom w:w="0" w:type="dxa"/>
            <w:right w:w="108" w:type="dxa"/>
          </w:tblCellMar>
        </w:tblPrEx>
        <w:trPr>
          <w:trHeight w:val="285" w:hRule="atLeast"/>
          <w:jc w:val="center"/>
        </w:trPr>
        <w:tc>
          <w:tcPr>
            <w:tcW w:w="7650" w:type="dxa"/>
            <w:gridSpan w:val="6"/>
            <w:tcBorders>
              <w:top w:val="single" w:color="auto" w:sz="4" w:space="0"/>
              <w:left w:val="single" w:color="auto" w:sz="4" w:space="0"/>
              <w:bottom w:val="single" w:color="auto" w:sz="4" w:space="0"/>
              <w:right w:val="single" w:color="000000" w:sz="4" w:space="0"/>
            </w:tcBorders>
            <w:noWrap/>
            <w:vAlign w:val="center"/>
          </w:tcPr>
          <w:p w14:paraId="6B014248">
            <w:pPr>
              <w:widowControl/>
              <w:jc w:val="center"/>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国家合格品标准（检测标准GB/T 24988-2020）</w:t>
            </w:r>
          </w:p>
        </w:tc>
      </w:tr>
      <w:tr w14:paraId="4981E145">
        <w:tblPrEx>
          <w:tblCellMar>
            <w:top w:w="0" w:type="dxa"/>
            <w:left w:w="108" w:type="dxa"/>
            <w:bottom w:w="0" w:type="dxa"/>
            <w:right w:w="108" w:type="dxa"/>
          </w:tblCellMar>
        </w:tblPrEx>
        <w:trPr>
          <w:trHeight w:val="300" w:hRule="atLeast"/>
          <w:jc w:val="center"/>
        </w:trPr>
        <w:tc>
          <w:tcPr>
            <w:tcW w:w="4243" w:type="dxa"/>
            <w:gridSpan w:val="3"/>
            <w:vMerge w:val="restart"/>
            <w:tcBorders>
              <w:top w:val="nil"/>
              <w:left w:val="single" w:color="auto" w:sz="8" w:space="0"/>
              <w:bottom w:val="single" w:color="000000" w:sz="8" w:space="0"/>
              <w:right w:val="single" w:color="000000" w:sz="8" w:space="0"/>
            </w:tcBorders>
            <w:vAlign w:val="center"/>
          </w:tcPr>
          <w:p w14:paraId="0B4792E1">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*指标名称</w:t>
            </w:r>
          </w:p>
        </w:tc>
        <w:tc>
          <w:tcPr>
            <w:tcW w:w="910" w:type="dxa"/>
            <w:vMerge w:val="restart"/>
            <w:tcBorders>
              <w:top w:val="nil"/>
              <w:left w:val="single" w:color="auto" w:sz="8" w:space="0"/>
              <w:bottom w:val="single" w:color="000000" w:sz="8" w:space="0"/>
              <w:right w:val="single" w:color="auto" w:sz="8" w:space="0"/>
            </w:tcBorders>
            <w:vAlign w:val="center"/>
          </w:tcPr>
          <w:p w14:paraId="567F9DA1">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单位</w:t>
            </w:r>
          </w:p>
        </w:tc>
        <w:tc>
          <w:tcPr>
            <w:tcW w:w="2497" w:type="dxa"/>
            <w:gridSpan w:val="2"/>
            <w:tcBorders>
              <w:top w:val="nil"/>
              <w:left w:val="nil"/>
              <w:bottom w:val="single" w:color="auto" w:sz="8" w:space="0"/>
              <w:right w:val="single" w:color="000000" w:sz="8" w:space="0"/>
            </w:tcBorders>
            <w:vAlign w:val="center"/>
          </w:tcPr>
          <w:p w14:paraId="27C3B542">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规定</w:t>
            </w:r>
          </w:p>
        </w:tc>
      </w:tr>
      <w:tr w14:paraId="46759918">
        <w:tblPrEx>
          <w:tblCellMar>
            <w:top w:w="0" w:type="dxa"/>
            <w:left w:w="108" w:type="dxa"/>
            <w:bottom w:w="0" w:type="dxa"/>
            <w:right w:w="108" w:type="dxa"/>
          </w:tblCellMar>
        </w:tblPrEx>
        <w:trPr>
          <w:trHeight w:val="300" w:hRule="atLeast"/>
          <w:jc w:val="center"/>
        </w:trPr>
        <w:tc>
          <w:tcPr>
            <w:tcW w:w="4243" w:type="dxa"/>
            <w:gridSpan w:val="3"/>
            <w:vMerge w:val="continue"/>
            <w:tcBorders>
              <w:top w:val="nil"/>
              <w:left w:val="single" w:color="auto" w:sz="8" w:space="0"/>
              <w:bottom w:val="single" w:color="000000" w:sz="8" w:space="0"/>
              <w:right w:val="single" w:color="000000" w:sz="8" w:space="0"/>
            </w:tcBorders>
            <w:vAlign w:val="center"/>
          </w:tcPr>
          <w:p w14:paraId="6B878010">
            <w:pPr>
              <w:widowControl/>
              <w:jc w:val="left"/>
              <w:rPr>
                <w:rFonts w:hint="eastAsia" w:ascii="宋体" w:hAnsi="宋体" w:cs="宋体"/>
                <w:b/>
                <w:bCs/>
                <w:color w:val="auto"/>
                <w:kern w:val="0"/>
                <w:sz w:val="22"/>
                <w:highlight w:val="none"/>
              </w:rPr>
            </w:pPr>
          </w:p>
        </w:tc>
        <w:tc>
          <w:tcPr>
            <w:tcW w:w="910" w:type="dxa"/>
            <w:vMerge w:val="continue"/>
            <w:tcBorders>
              <w:top w:val="nil"/>
              <w:left w:val="single" w:color="auto" w:sz="8" w:space="0"/>
              <w:bottom w:val="single" w:color="000000" w:sz="8" w:space="0"/>
              <w:right w:val="single" w:color="auto" w:sz="8" w:space="0"/>
            </w:tcBorders>
            <w:vAlign w:val="center"/>
          </w:tcPr>
          <w:p w14:paraId="2C0B0CDA">
            <w:pPr>
              <w:widowControl/>
              <w:jc w:val="left"/>
              <w:rPr>
                <w:rFonts w:hint="eastAsia" w:ascii="宋体" w:hAnsi="宋体" w:cs="宋体"/>
                <w:b/>
                <w:bCs/>
                <w:color w:val="auto"/>
                <w:kern w:val="0"/>
                <w:sz w:val="22"/>
                <w:highlight w:val="none"/>
              </w:rPr>
            </w:pPr>
          </w:p>
        </w:tc>
        <w:tc>
          <w:tcPr>
            <w:tcW w:w="2497" w:type="dxa"/>
            <w:gridSpan w:val="2"/>
            <w:tcBorders>
              <w:top w:val="single" w:color="auto" w:sz="8" w:space="0"/>
              <w:left w:val="nil"/>
              <w:bottom w:val="single" w:color="auto" w:sz="8" w:space="0"/>
              <w:right w:val="single" w:color="000000" w:sz="8" w:space="0"/>
            </w:tcBorders>
            <w:vAlign w:val="center"/>
          </w:tcPr>
          <w:p w14:paraId="3CFF5D8C">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合格品</w:t>
            </w:r>
          </w:p>
        </w:tc>
      </w:tr>
      <w:tr w14:paraId="3EEF4E34">
        <w:tblPrEx>
          <w:tblCellMar>
            <w:top w:w="0" w:type="dxa"/>
            <w:left w:w="108" w:type="dxa"/>
            <w:bottom w:w="0" w:type="dxa"/>
            <w:right w:w="108" w:type="dxa"/>
          </w:tblCellMar>
        </w:tblPrEx>
        <w:trPr>
          <w:trHeight w:val="300" w:hRule="atLeast"/>
          <w:jc w:val="center"/>
        </w:trPr>
        <w:tc>
          <w:tcPr>
            <w:tcW w:w="4243" w:type="dxa"/>
            <w:gridSpan w:val="3"/>
            <w:tcBorders>
              <w:top w:val="single" w:color="auto" w:sz="8" w:space="0"/>
              <w:left w:val="single" w:color="auto" w:sz="8" w:space="0"/>
              <w:bottom w:val="single" w:color="auto" w:sz="8" w:space="0"/>
              <w:right w:val="single" w:color="000000" w:sz="8" w:space="0"/>
            </w:tcBorders>
            <w:vAlign w:val="center"/>
          </w:tcPr>
          <w:p w14:paraId="07B470B9">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*定量</w:t>
            </w:r>
          </w:p>
        </w:tc>
        <w:tc>
          <w:tcPr>
            <w:tcW w:w="910" w:type="dxa"/>
            <w:tcBorders>
              <w:top w:val="nil"/>
              <w:left w:val="nil"/>
              <w:bottom w:val="single" w:color="auto" w:sz="8" w:space="0"/>
              <w:right w:val="single" w:color="auto" w:sz="8" w:space="0"/>
            </w:tcBorders>
            <w:vAlign w:val="center"/>
          </w:tcPr>
          <w:p w14:paraId="5AA2AC8E">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g/m²</w:t>
            </w:r>
          </w:p>
        </w:tc>
        <w:tc>
          <w:tcPr>
            <w:tcW w:w="1221" w:type="dxa"/>
            <w:tcBorders>
              <w:top w:val="nil"/>
              <w:left w:val="nil"/>
              <w:bottom w:val="single" w:color="auto" w:sz="8" w:space="0"/>
              <w:right w:val="single" w:color="auto" w:sz="8" w:space="0"/>
            </w:tcBorders>
            <w:vAlign w:val="center"/>
          </w:tcPr>
          <w:p w14:paraId="2C84991F">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70</w:t>
            </w:r>
          </w:p>
        </w:tc>
        <w:tc>
          <w:tcPr>
            <w:tcW w:w="1276" w:type="dxa"/>
            <w:tcBorders>
              <w:top w:val="nil"/>
              <w:left w:val="nil"/>
              <w:bottom w:val="single" w:color="auto" w:sz="8" w:space="0"/>
              <w:right w:val="single" w:color="auto" w:sz="8" w:space="0"/>
            </w:tcBorders>
            <w:vAlign w:val="center"/>
          </w:tcPr>
          <w:p w14:paraId="7F4737CC">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80</w:t>
            </w:r>
          </w:p>
        </w:tc>
      </w:tr>
      <w:tr w14:paraId="6DA3F7C7">
        <w:tblPrEx>
          <w:tblCellMar>
            <w:top w:w="0" w:type="dxa"/>
            <w:left w:w="108" w:type="dxa"/>
            <w:bottom w:w="0" w:type="dxa"/>
            <w:right w:w="108" w:type="dxa"/>
          </w:tblCellMar>
        </w:tblPrEx>
        <w:trPr>
          <w:trHeight w:val="300" w:hRule="atLeast"/>
          <w:jc w:val="center"/>
        </w:trPr>
        <w:tc>
          <w:tcPr>
            <w:tcW w:w="4243" w:type="dxa"/>
            <w:gridSpan w:val="3"/>
            <w:tcBorders>
              <w:top w:val="single" w:color="auto" w:sz="8" w:space="0"/>
              <w:left w:val="single" w:color="auto" w:sz="8" w:space="0"/>
              <w:bottom w:val="single" w:color="auto" w:sz="8" w:space="0"/>
              <w:right w:val="single" w:color="000000" w:sz="8" w:space="0"/>
            </w:tcBorders>
            <w:vAlign w:val="center"/>
          </w:tcPr>
          <w:p w14:paraId="67C48BCD">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*定量偏差</w:t>
            </w:r>
          </w:p>
        </w:tc>
        <w:tc>
          <w:tcPr>
            <w:tcW w:w="910" w:type="dxa"/>
            <w:tcBorders>
              <w:top w:val="nil"/>
              <w:left w:val="nil"/>
              <w:bottom w:val="single" w:color="auto" w:sz="8" w:space="0"/>
              <w:right w:val="single" w:color="auto" w:sz="8" w:space="0"/>
            </w:tcBorders>
            <w:vAlign w:val="center"/>
          </w:tcPr>
          <w:p w14:paraId="4B55854F">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w:t>
            </w:r>
          </w:p>
        </w:tc>
        <w:tc>
          <w:tcPr>
            <w:tcW w:w="2497" w:type="dxa"/>
            <w:gridSpan w:val="2"/>
            <w:tcBorders>
              <w:top w:val="single" w:color="auto" w:sz="8" w:space="0"/>
              <w:left w:val="nil"/>
              <w:bottom w:val="single" w:color="auto" w:sz="8" w:space="0"/>
              <w:right w:val="single" w:color="000000" w:sz="8" w:space="0"/>
            </w:tcBorders>
            <w:vAlign w:val="center"/>
          </w:tcPr>
          <w:p w14:paraId="12C182CA">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±4</w:t>
            </w:r>
          </w:p>
        </w:tc>
      </w:tr>
      <w:tr w14:paraId="5BC50602">
        <w:tblPrEx>
          <w:tblCellMar>
            <w:top w:w="0" w:type="dxa"/>
            <w:left w:w="108" w:type="dxa"/>
            <w:bottom w:w="0" w:type="dxa"/>
            <w:right w:w="108" w:type="dxa"/>
          </w:tblCellMar>
        </w:tblPrEx>
        <w:trPr>
          <w:trHeight w:val="315" w:hRule="atLeast"/>
          <w:jc w:val="center"/>
        </w:trPr>
        <w:tc>
          <w:tcPr>
            <w:tcW w:w="4243" w:type="dxa"/>
            <w:gridSpan w:val="3"/>
            <w:tcBorders>
              <w:top w:val="single" w:color="auto" w:sz="8" w:space="0"/>
              <w:left w:val="single" w:color="auto" w:sz="8" w:space="0"/>
              <w:bottom w:val="single" w:color="auto" w:sz="8" w:space="0"/>
              <w:right w:val="single" w:color="000000" w:sz="8" w:space="0"/>
            </w:tcBorders>
            <w:vAlign w:val="center"/>
          </w:tcPr>
          <w:p w14:paraId="2D4EF1FA">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*厚度≥</w:t>
            </w:r>
          </w:p>
        </w:tc>
        <w:tc>
          <w:tcPr>
            <w:tcW w:w="910" w:type="dxa"/>
            <w:tcBorders>
              <w:top w:val="nil"/>
              <w:left w:val="nil"/>
              <w:bottom w:val="single" w:color="auto" w:sz="8" w:space="0"/>
              <w:right w:val="single" w:color="auto" w:sz="8" w:space="0"/>
            </w:tcBorders>
            <w:vAlign w:val="center"/>
          </w:tcPr>
          <w:p w14:paraId="770984D5">
            <w:pPr>
              <w:widowControl/>
              <w:rPr>
                <w:rFonts w:ascii="Calibri" w:hAnsi="Calibri" w:cs="Calibri"/>
                <w:b/>
                <w:bCs/>
                <w:color w:val="auto"/>
                <w:kern w:val="0"/>
                <w:sz w:val="22"/>
                <w:highlight w:val="none"/>
              </w:rPr>
            </w:pPr>
            <w:r>
              <w:rPr>
                <w:rFonts w:ascii="Calibri" w:hAnsi="Calibri" w:cs="Calibri"/>
                <w:b/>
                <w:bCs/>
                <w:color w:val="auto"/>
                <w:kern w:val="0"/>
                <w:sz w:val="22"/>
                <w:highlight w:val="none"/>
              </w:rPr>
              <w:t>μ</w:t>
            </w:r>
            <w:r>
              <w:rPr>
                <w:rFonts w:hint="eastAsia" w:ascii="宋体" w:hAnsi="宋体" w:cs="Calibri"/>
                <w:b/>
                <w:bCs/>
                <w:color w:val="auto"/>
                <w:kern w:val="0"/>
                <w:sz w:val="22"/>
                <w:highlight w:val="none"/>
              </w:rPr>
              <w:t>m</w:t>
            </w:r>
          </w:p>
        </w:tc>
        <w:tc>
          <w:tcPr>
            <w:tcW w:w="1221" w:type="dxa"/>
            <w:tcBorders>
              <w:top w:val="nil"/>
              <w:left w:val="nil"/>
              <w:bottom w:val="single" w:color="auto" w:sz="8" w:space="0"/>
              <w:right w:val="single" w:color="auto" w:sz="8" w:space="0"/>
            </w:tcBorders>
            <w:vAlign w:val="center"/>
          </w:tcPr>
          <w:p w14:paraId="72376EEB">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88</w:t>
            </w:r>
          </w:p>
        </w:tc>
        <w:tc>
          <w:tcPr>
            <w:tcW w:w="1276" w:type="dxa"/>
            <w:tcBorders>
              <w:top w:val="nil"/>
              <w:left w:val="nil"/>
              <w:bottom w:val="single" w:color="auto" w:sz="8" w:space="0"/>
              <w:right w:val="single" w:color="auto" w:sz="8" w:space="0"/>
            </w:tcBorders>
            <w:vAlign w:val="center"/>
          </w:tcPr>
          <w:p w14:paraId="1A5FC27D">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98</w:t>
            </w:r>
          </w:p>
        </w:tc>
      </w:tr>
      <w:tr w14:paraId="27DDA2DD">
        <w:tblPrEx>
          <w:tblCellMar>
            <w:top w:w="0" w:type="dxa"/>
            <w:left w:w="108" w:type="dxa"/>
            <w:bottom w:w="0" w:type="dxa"/>
            <w:right w:w="108" w:type="dxa"/>
          </w:tblCellMar>
        </w:tblPrEx>
        <w:trPr>
          <w:trHeight w:val="300" w:hRule="atLeast"/>
          <w:jc w:val="center"/>
        </w:trPr>
        <w:tc>
          <w:tcPr>
            <w:tcW w:w="2230" w:type="dxa"/>
            <w:vMerge w:val="restart"/>
            <w:tcBorders>
              <w:top w:val="nil"/>
              <w:left w:val="single" w:color="auto" w:sz="8" w:space="0"/>
              <w:bottom w:val="single" w:color="000000" w:sz="8" w:space="0"/>
              <w:right w:val="single" w:color="auto" w:sz="8" w:space="0"/>
            </w:tcBorders>
            <w:vAlign w:val="center"/>
          </w:tcPr>
          <w:p w14:paraId="703674BE">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*挺度</w:t>
            </w:r>
          </w:p>
        </w:tc>
        <w:tc>
          <w:tcPr>
            <w:tcW w:w="933" w:type="dxa"/>
            <w:vMerge w:val="restart"/>
            <w:tcBorders>
              <w:top w:val="nil"/>
              <w:left w:val="single" w:color="auto" w:sz="8" w:space="0"/>
              <w:bottom w:val="single" w:color="000000" w:sz="8" w:space="0"/>
              <w:right w:val="single" w:color="auto" w:sz="8" w:space="0"/>
            </w:tcBorders>
            <w:vAlign w:val="center"/>
          </w:tcPr>
          <w:p w14:paraId="791D5B4F">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恒速弯曲法</w:t>
            </w:r>
          </w:p>
        </w:tc>
        <w:tc>
          <w:tcPr>
            <w:tcW w:w="1080" w:type="dxa"/>
            <w:tcBorders>
              <w:top w:val="nil"/>
              <w:left w:val="nil"/>
              <w:bottom w:val="single" w:color="auto" w:sz="8" w:space="0"/>
              <w:right w:val="single" w:color="auto" w:sz="8" w:space="0"/>
            </w:tcBorders>
            <w:vAlign w:val="center"/>
          </w:tcPr>
          <w:p w14:paraId="36989063">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纵向≥</w:t>
            </w:r>
          </w:p>
        </w:tc>
        <w:tc>
          <w:tcPr>
            <w:tcW w:w="910" w:type="dxa"/>
            <w:vMerge w:val="restart"/>
            <w:tcBorders>
              <w:top w:val="nil"/>
              <w:left w:val="single" w:color="auto" w:sz="8" w:space="0"/>
              <w:bottom w:val="single" w:color="000000" w:sz="8" w:space="0"/>
              <w:right w:val="single" w:color="auto" w:sz="8" w:space="0"/>
            </w:tcBorders>
            <w:vAlign w:val="center"/>
          </w:tcPr>
          <w:p w14:paraId="16DE7AB4">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mN</w:t>
            </w:r>
          </w:p>
        </w:tc>
        <w:tc>
          <w:tcPr>
            <w:tcW w:w="1221" w:type="dxa"/>
            <w:tcBorders>
              <w:top w:val="nil"/>
              <w:left w:val="nil"/>
              <w:bottom w:val="single" w:color="auto" w:sz="8" w:space="0"/>
              <w:right w:val="single" w:color="auto" w:sz="8" w:space="0"/>
            </w:tcBorders>
            <w:vAlign w:val="center"/>
          </w:tcPr>
          <w:p w14:paraId="6258C95B">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65</w:t>
            </w:r>
          </w:p>
        </w:tc>
        <w:tc>
          <w:tcPr>
            <w:tcW w:w="1276" w:type="dxa"/>
            <w:tcBorders>
              <w:top w:val="nil"/>
              <w:left w:val="nil"/>
              <w:bottom w:val="single" w:color="auto" w:sz="8" w:space="0"/>
              <w:right w:val="single" w:color="auto" w:sz="8" w:space="0"/>
            </w:tcBorders>
            <w:vAlign w:val="center"/>
          </w:tcPr>
          <w:p w14:paraId="6D62AF9D">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80</w:t>
            </w:r>
          </w:p>
        </w:tc>
      </w:tr>
      <w:tr w14:paraId="596786B8">
        <w:tblPrEx>
          <w:tblCellMar>
            <w:top w:w="0" w:type="dxa"/>
            <w:left w:w="108" w:type="dxa"/>
            <w:bottom w:w="0" w:type="dxa"/>
            <w:right w:w="108" w:type="dxa"/>
          </w:tblCellMar>
        </w:tblPrEx>
        <w:trPr>
          <w:trHeight w:val="300" w:hRule="atLeast"/>
          <w:jc w:val="center"/>
        </w:trPr>
        <w:tc>
          <w:tcPr>
            <w:tcW w:w="2230" w:type="dxa"/>
            <w:vMerge w:val="continue"/>
            <w:tcBorders>
              <w:top w:val="nil"/>
              <w:left w:val="single" w:color="auto" w:sz="8" w:space="0"/>
              <w:bottom w:val="single" w:color="000000" w:sz="8" w:space="0"/>
              <w:right w:val="single" w:color="auto" w:sz="8" w:space="0"/>
            </w:tcBorders>
            <w:vAlign w:val="center"/>
          </w:tcPr>
          <w:p w14:paraId="7A8D8D7E">
            <w:pPr>
              <w:widowControl/>
              <w:jc w:val="left"/>
              <w:rPr>
                <w:rFonts w:hint="eastAsia" w:ascii="宋体" w:hAnsi="宋体" w:cs="宋体"/>
                <w:b/>
                <w:bCs/>
                <w:color w:val="auto"/>
                <w:kern w:val="0"/>
                <w:sz w:val="22"/>
                <w:highlight w:val="none"/>
              </w:rPr>
            </w:pPr>
          </w:p>
        </w:tc>
        <w:tc>
          <w:tcPr>
            <w:tcW w:w="933" w:type="dxa"/>
            <w:vMerge w:val="continue"/>
            <w:tcBorders>
              <w:top w:val="nil"/>
              <w:left w:val="single" w:color="auto" w:sz="8" w:space="0"/>
              <w:bottom w:val="single" w:color="000000" w:sz="8" w:space="0"/>
              <w:right w:val="single" w:color="auto" w:sz="8" w:space="0"/>
            </w:tcBorders>
            <w:vAlign w:val="center"/>
          </w:tcPr>
          <w:p w14:paraId="3C3B862A">
            <w:pPr>
              <w:widowControl/>
              <w:jc w:val="left"/>
              <w:rPr>
                <w:rFonts w:hint="eastAsia" w:ascii="宋体" w:hAnsi="宋体" w:cs="宋体"/>
                <w:b/>
                <w:bCs/>
                <w:color w:val="auto"/>
                <w:kern w:val="0"/>
                <w:sz w:val="22"/>
                <w:highlight w:val="none"/>
              </w:rPr>
            </w:pPr>
          </w:p>
        </w:tc>
        <w:tc>
          <w:tcPr>
            <w:tcW w:w="1080" w:type="dxa"/>
            <w:tcBorders>
              <w:top w:val="nil"/>
              <w:left w:val="nil"/>
              <w:bottom w:val="single" w:color="auto" w:sz="8" w:space="0"/>
              <w:right w:val="single" w:color="auto" w:sz="8" w:space="0"/>
            </w:tcBorders>
            <w:vAlign w:val="center"/>
          </w:tcPr>
          <w:p w14:paraId="74DCB9E2">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横向≥</w:t>
            </w:r>
          </w:p>
        </w:tc>
        <w:tc>
          <w:tcPr>
            <w:tcW w:w="910" w:type="dxa"/>
            <w:vMerge w:val="continue"/>
            <w:tcBorders>
              <w:top w:val="nil"/>
              <w:left w:val="single" w:color="auto" w:sz="8" w:space="0"/>
              <w:bottom w:val="single" w:color="000000" w:sz="8" w:space="0"/>
              <w:right w:val="single" w:color="auto" w:sz="8" w:space="0"/>
            </w:tcBorders>
            <w:vAlign w:val="center"/>
          </w:tcPr>
          <w:p w14:paraId="3CC7510C">
            <w:pPr>
              <w:widowControl/>
              <w:jc w:val="left"/>
              <w:rPr>
                <w:rFonts w:hint="eastAsia" w:ascii="宋体" w:hAnsi="宋体" w:cs="宋体"/>
                <w:b/>
                <w:bCs/>
                <w:color w:val="auto"/>
                <w:kern w:val="0"/>
                <w:sz w:val="22"/>
                <w:highlight w:val="none"/>
              </w:rPr>
            </w:pPr>
          </w:p>
        </w:tc>
        <w:tc>
          <w:tcPr>
            <w:tcW w:w="1221" w:type="dxa"/>
            <w:tcBorders>
              <w:top w:val="nil"/>
              <w:left w:val="nil"/>
              <w:bottom w:val="single" w:color="auto" w:sz="8" w:space="0"/>
              <w:right w:val="single" w:color="auto" w:sz="8" w:space="0"/>
            </w:tcBorders>
            <w:vAlign w:val="center"/>
          </w:tcPr>
          <w:p w14:paraId="4D794E22">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26</w:t>
            </w:r>
          </w:p>
        </w:tc>
        <w:tc>
          <w:tcPr>
            <w:tcW w:w="1276" w:type="dxa"/>
            <w:tcBorders>
              <w:top w:val="nil"/>
              <w:left w:val="nil"/>
              <w:bottom w:val="single" w:color="auto" w:sz="8" w:space="0"/>
              <w:right w:val="single" w:color="auto" w:sz="8" w:space="0"/>
            </w:tcBorders>
            <w:vAlign w:val="center"/>
          </w:tcPr>
          <w:p w14:paraId="314270D1">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35</w:t>
            </w:r>
          </w:p>
        </w:tc>
      </w:tr>
      <w:tr w14:paraId="77846F76">
        <w:tblPrEx>
          <w:tblCellMar>
            <w:top w:w="0" w:type="dxa"/>
            <w:left w:w="108" w:type="dxa"/>
            <w:bottom w:w="0" w:type="dxa"/>
            <w:right w:w="108" w:type="dxa"/>
          </w:tblCellMar>
        </w:tblPrEx>
        <w:trPr>
          <w:trHeight w:val="300" w:hRule="atLeast"/>
          <w:jc w:val="center"/>
        </w:trPr>
        <w:tc>
          <w:tcPr>
            <w:tcW w:w="4243" w:type="dxa"/>
            <w:gridSpan w:val="3"/>
            <w:tcBorders>
              <w:top w:val="single" w:color="auto" w:sz="8" w:space="0"/>
              <w:left w:val="single" w:color="auto" w:sz="8" w:space="0"/>
              <w:bottom w:val="single" w:color="auto" w:sz="8" w:space="0"/>
              <w:right w:val="single" w:color="000000" w:sz="8" w:space="0"/>
            </w:tcBorders>
            <w:vAlign w:val="center"/>
          </w:tcPr>
          <w:p w14:paraId="46D39DE2">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*平滑度（两面均）≥</w:t>
            </w:r>
          </w:p>
        </w:tc>
        <w:tc>
          <w:tcPr>
            <w:tcW w:w="910" w:type="dxa"/>
            <w:tcBorders>
              <w:top w:val="nil"/>
              <w:left w:val="nil"/>
              <w:bottom w:val="single" w:color="auto" w:sz="8" w:space="0"/>
              <w:right w:val="single" w:color="auto" w:sz="8" w:space="0"/>
            </w:tcBorders>
            <w:vAlign w:val="center"/>
          </w:tcPr>
          <w:p w14:paraId="709ECB37">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s</w:t>
            </w:r>
          </w:p>
        </w:tc>
        <w:tc>
          <w:tcPr>
            <w:tcW w:w="2497" w:type="dxa"/>
            <w:gridSpan w:val="2"/>
            <w:tcBorders>
              <w:top w:val="single" w:color="auto" w:sz="8" w:space="0"/>
              <w:left w:val="nil"/>
              <w:bottom w:val="single" w:color="auto" w:sz="8" w:space="0"/>
              <w:right w:val="single" w:color="000000" w:sz="8" w:space="0"/>
            </w:tcBorders>
            <w:vAlign w:val="center"/>
          </w:tcPr>
          <w:p w14:paraId="4E4EEEE8">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15</w:t>
            </w:r>
          </w:p>
        </w:tc>
      </w:tr>
      <w:tr w14:paraId="009C2EBD">
        <w:tblPrEx>
          <w:tblCellMar>
            <w:top w:w="0" w:type="dxa"/>
            <w:left w:w="108" w:type="dxa"/>
            <w:bottom w:w="0" w:type="dxa"/>
            <w:right w:w="108" w:type="dxa"/>
          </w:tblCellMar>
        </w:tblPrEx>
        <w:trPr>
          <w:trHeight w:val="300" w:hRule="atLeast"/>
          <w:jc w:val="center"/>
        </w:trPr>
        <w:tc>
          <w:tcPr>
            <w:tcW w:w="4243" w:type="dxa"/>
            <w:gridSpan w:val="3"/>
            <w:tcBorders>
              <w:top w:val="single" w:color="auto" w:sz="8" w:space="0"/>
              <w:left w:val="single" w:color="auto" w:sz="8" w:space="0"/>
              <w:bottom w:val="single" w:color="auto" w:sz="8" w:space="0"/>
              <w:right w:val="single" w:color="000000" w:sz="8" w:space="0"/>
            </w:tcBorders>
            <w:vAlign w:val="center"/>
          </w:tcPr>
          <w:p w14:paraId="7E560FDB">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*不透明度≥</w:t>
            </w:r>
          </w:p>
        </w:tc>
        <w:tc>
          <w:tcPr>
            <w:tcW w:w="910" w:type="dxa"/>
            <w:tcBorders>
              <w:top w:val="nil"/>
              <w:left w:val="nil"/>
              <w:bottom w:val="single" w:color="auto" w:sz="8" w:space="0"/>
              <w:right w:val="single" w:color="auto" w:sz="8" w:space="0"/>
            </w:tcBorders>
            <w:vAlign w:val="center"/>
          </w:tcPr>
          <w:p w14:paraId="66C3446C">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w:t>
            </w:r>
          </w:p>
        </w:tc>
        <w:tc>
          <w:tcPr>
            <w:tcW w:w="1221" w:type="dxa"/>
            <w:tcBorders>
              <w:top w:val="nil"/>
              <w:left w:val="nil"/>
              <w:bottom w:val="single" w:color="auto" w:sz="8" w:space="0"/>
              <w:right w:val="single" w:color="auto" w:sz="4" w:space="0"/>
            </w:tcBorders>
            <w:vAlign w:val="center"/>
          </w:tcPr>
          <w:p w14:paraId="0BEDF5AD">
            <w:pPr>
              <w:widowControl/>
              <w:jc w:val="righ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86</w:t>
            </w:r>
          </w:p>
        </w:tc>
        <w:tc>
          <w:tcPr>
            <w:tcW w:w="1276" w:type="dxa"/>
            <w:tcBorders>
              <w:top w:val="nil"/>
              <w:left w:val="nil"/>
              <w:bottom w:val="single" w:color="auto" w:sz="8" w:space="0"/>
              <w:right w:val="single" w:color="auto" w:sz="8" w:space="0"/>
            </w:tcBorders>
            <w:vAlign w:val="center"/>
          </w:tcPr>
          <w:p w14:paraId="3EB9ED85">
            <w:pPr>
              <w:widowControl/>
              <w:jc w:val="righ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88</w:t>
            </w:r>
          </w:p>
        </w:tc>
      </w:tr>
      <w:tr w14:paraId="33831044">
        <w:tblPrEx>
          <w:tblCellMar>
            <w:top w:w="0" w:type="dxa"/>
            <w:left w:w="108" w:type="dxa"/>
            <w:bottom w:w="0" w:type="dxa"/>
            <w:right w:w="108" w:type="dxa"/>
          </w:tblCellMar>
        </w:tblPrEx>
        <w:trPr>
          <w:trHeight w:val="300" w:hRule="atLeast"/>
          <w:jc w:val="center"/>
        </w:trPr>
        <w:tc>
          <w:tcPr>
            <w:tcW w:w="4243" w:type="dxa"/>
            <w:gridSpan w:val="3"/>
            <w:tcBorders>
              <w:top w:val="single" w:color="auto" w:sz="8" w:space="0"/>
              <w:left w:val="single" w:color="auto" w:sz="8" w:space="0"/>
              <w:bottom w:val="single" w:color="auto" w:sz="8" w:space="0"/>
              <w:right w:val="single" w:color="000000" w:sz="8" w:space="0"/>
            </w:tcBorders>
            <w:vAlign w:val="center"/>
          </w:tcPr>
          <w:p w14:paraId="5F87CFA1">
            <w:pPr>
              <w:widowControl/>
              <w:jc w:val="left"/>
              <w:rPr>
                <w:rFonts w:hint="eastAsia" w:ascii="宋体" w:hAnsi="宋体" w:cs="宋体"/>
                <w:color w:val="auto"/>
                <w:kern w:val="0"/>
                <w:sz w:val="22"/>
                <w:highlight w:val="none"/>
              </w:rPr>
            </w:pPr>
            <w:r>
              <w:rPr>
                <w:rFonts w:hint="eastAsia" w:ascii="宋体" w:hAnsi="宋体" w:cs="宋体"/>
                <w:color w:val="auto"/>
                <w:kern w:val="0"/>
                <w:sz w:val="22"/>
                <w:highlight w:val="none"/>
              </w:rPr>
              <w:t>D65亮度 ≤</w:t>
            </w:r>
          </w:p>
        </w:tc>
        <w:tc>
          <w:tcPr>
            <w:tcW w:w="910" w:type="dxa"/>
            <w:tcBorders>
              <w:top w:val="nil"/>
              <w:left w:val="nil"/>
              <w:bottom w:val="single" w:color="auto" w:sz="8" w:space="0"/>
              <w:right w:val="single" w:color="auto" w:sz="8" w:space="0"/>
            </w:tcBorders>
            <w:vAlign w:val="center"/>
          </w:tcPr>
          <w:p w14:paraId="1F4FBB3C">
            <w:pPr>
              <w:widowControl/>
              <w:rPr>
                <w:rFonts w:hint="eastAsia" w:ascii="宋体" w:hAnsi="宋体" w:cs="宋体"/>
                <w:color w:val="auto"/>
                <w:kern w:val="0"/>
                <w:sz w:val="22"/>
                <w:highlight w:val="none"/>
              </w:rPr>
            </w:pPr>
            <w:r>
              <w:rPr>
                <w:rFonts w:hint="eastAsia" w:ascii="宋体" w:hAnsi="宋体" w:cs="宋体"/>
                <w:color w:val="auto"/>
                <w:kern w:val="0"/>
                <w:sz w:val="22"/>
                <w:highlight w:val="none"/>
              </w:rPr>
              <w:t>%</w:t>
            </w:r>
          </w:p>
        </w:tc>
        <w:tc>
          <w:tcPr>
            <w:tcW w:w="2497" w:type="dxa"/>
            <w:gridSpan w:val="2"/>
            <w:tcBorders>
              <w:top w:val="single" w:color="auto" w:sz="8" w:space="0"/>
              <w:left w:val="nil"/>
              <w:bottom w:val="single" w:color="auto" w:sz="8" w:space="0"/>
              <w:right w:val="single" w:color="000000" w:sz="8" w:space="0"/>
            </w:tcBorders>
            <w:vAlign w:val="center"/>
          </w:tcPr>
          <w:p w14:paraId="266C42F3">
            <w:pPr>
              <w:widowControl/>
              <w:rPr>
                <w:rFonts w:hint="eastAsia" w:ascii="宋体" w:hAnsi="宋体" w:cs="宋体"/>
                <w:color w:val="auto"/>
                <w:kern w:val="0"/>
                <w:sz w:val="22"/>
                <w:highlight w:val="none"/>
              </w:rPr>
            </w:pPr>
            <w:r>
              <w:rPr>
                <w:rFonts w:hint="eastAsia" w:ascii="宋体" w:hAnsi="宋体" w:cs="宋体"/>
                <w:color w:val="auto"/>
                <w:kern w:val="0"/>
                <w:sz w:val="22"/>
                <w:highlight w:val="none"/>
              </w:rPr>
              <w:t>95</w:t>
            </w:r>
          </w:p>
        </w:tc>
      </w:tr>
      <w:tr w14:paraId="7FA980B5">
        <w:tblPrEx>
          <w:tblCellMar>
            <w:top w:w="0" w:type="dxa"/>
            <w:left w:w="108" w:type="dxa"/>
            <w:bottom w:w="0" w:type="dxa"/>
            <w:right w:w="108" w:type="dxa"/>
          </w:tblCellMar>
        </w:tblPrEx>
        <w:trPr>
          <w:trHeight w:val="915" w:hRule="atLeast"/>
          <w:jc w:val="center"/>
        </w:trPr>
        <w:tc>
          <w:tcPr>
            <w:tcW w:w="3163" w:type="dxa"/>
            <w:gridSpan w:val="2"/>
            <w:vMerge w:val="restart"/>
            <w:tcBorders>
              <w:top w:val="single" w:color="auto" w:sz="8" w:space="0"/>
              <w:left w:val="single" w:color="auto" w:sz="8" w:space="0"/>
              <w:bottom w:val="single" w:color="000000" w:sz="8" w:space="0"/>
              <w:right w:val="single" w:color="000000" w:sz="8" w:space="0"/>
            </w:tcBorders>
            <w:vAlign w:val="center"/>
          </w:tcPr>
          <w:p w14:paraId="5D923141">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*尘埃度</w:t>
            </w:r>
          </w:p>
        </w:tc>
        <w:tc>
          <w:tcPr>
            <w:tcW w:w="1080" w:type="dxa"/>
            <w:tcBorders>
              <w:top w:val="nil"/>
              <w:left w:val="nil"/>
              <w:bottom w:val="single" w:color="auto" w:sz="8" w:space="0"/>
              <w:right w:val="single" w:color="auto" w:sz="8" w:space="0"/>
            </w:tcBorders>
            <w:vAlign w:val="center"/>
          </w:tcPr>
          <w:p w14:paraId="55D756F1">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0.3mm</w:t>
            </w:r>
            <w:r>
              <w:rPr>
                <w:rFonts w:hint="eastAsia" w:ascii="宋体" w:hAnsi="宋体" w:cs="宋体"/>
                <w:b/>
                <w:bCs/>
                <w:color w:val="auto"/>
                <w:kern w:val="0"/>
                <w:sz w:val="22"/>
                <w:highlight w:val="none"/>
                <w:vertAlign w:val="superscript"/>
              </w:rPr>
              <w:t>2</w:t>
            </w:r>
            <w:r>
              <w:rPr>
                <w:rFonts w:hint="eastAsia" w:ascii="宋体" w:hAnsi="宋体" w:cs="宋体"/>
                <w:b/>
                <w:bCs/>
                <w:color w:val="auto"/>
                <w:kern w:val="0"/>
                <w:sz w:val="22"/>
                <w:highlight w:val="none"/>
              </w:rPr>
              <w:t>-1.5mm</w:t>
            </w:r>
            <w:r>
              <w:rPr>
                <w:rFonts w:hint="eastAsia" w:ascii="宋体" w:hAnsi="宋体" w:cs="宋体"/>
                <w:b/>
                <w:bCs/>
                <w:color w:val="auto"/>
                <w:kern w:val="0"/>
                <w:sz w:val="22"/>
                <w:highlight w:val="none"/>
                <w:vertAlign w:val="superscript"/>
              </w:rPr>
              <w:t>2</w:t>
            </w:r>
            <w:r>
              <w:rPr>
                <w:rFonts w:hint="eastAsia" w:ascii="宋体" w:hAnsi="宋体" w:cs="宋体"/>
                <w:b/>
                <w:bCs/>
                <w:color w:val="auto"/>
                <w:kern w:val="0"/>
                <w:sz w:val="22"/>
                <w:highlight w:val="none"/>
              </w:rPr>
              <w:t xml:space="preserve"> ≤</w:t>
            </w:r>
          </w:p>
        </w:tc>
        <w:tc>
          <w:tcPr>
            <w:tcW w:w="910" w:type="dxa"/>
            <w:vMerge w:val="restart"/>
            <w:tcBorders>
              <w:top w:val="nil"/>
              <w:left w:val="single" w:color="auto" w:sz="8" w:space="0"/>
              <w:bottom w:val="single" w:color="000000" w:sz="8" w:space="0"/>
              <w:right w:val="single" w:color="auto" w:sz="8" w:space="0"/>
            </w:tcBorders>
            <w:vAlign w:val="center"/>
          </w:tcPr>
          <w:p w14:paraId="0DF832A7">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个/m</w:t>
            </w:r>
            <w:r>
              <w:rPr>
                <w:rFonts w:hint="eastAsia" w:ascii="宋体" w:hAnsi="宋体" w:cs="宋体"/>
                <w:b/>
                <w:bCs/>
                <w:color w:val="auto"/>
                <w:kern w:val="0"/>
                <w:sz w:val="22"/>
                <w:highlight w:val="none"/>
                <w:vertAlign w:val="superscript"/>
              </w:rPr>
              <w:t>2</w:t>
            </w:r>
          </w:p>
        </w:tc>
        <w:tc>
          <w:tcPr>
            <w:tcW w:w="2497" w:type="dxa"/>
            <w:gridSpan w:val="2"/>
            <w:tcBorders>
              <w:top w:val="single" w:color="auto" w:sz="8" w:space="0"/>
              <w:left w:val="nil"/>
              <w:bottom w:val="single" w:color="auto" w:sz="8" w:space="0"/>
              <w:right w:val="single" w:color="000000" w:sz="8" w:space="0"/>
            </w:tcBorders>
            <w:vAlign w:val="center"/>
          </w:tcPr>
          <w:p w14:paraId="3E163214">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80</w:t>
            </w:r>
          </w:p>
        </w:tc>
      </w:tr>
      <w:tr w14:paraId="60C730DF">
        <w:tblPrEx>
          <w:tblCellMar>
            <w:top w:w="0" w:type="dxa"/>
            <w:left w:w="108" w:type="dxa"/>
            <w:bottom w:w="0" w:type="dxa"/>
            <w:right w:w="108" w:type="dxa"/>
          </w:tblCellMar>
        </w:tblPrEx>
        <w:trPr>
          <w:trHeight w:val="330" w:hRule="atLeast"/>
          <w:jc w:val="center"/>
        </w:trPr>
        <w:tc>
          <w:tcPr>
            <w:tcW w:w="3163" w:type="dxa"/>
            <w:gridSpan w:val="2"/>
            <w:vMerge w:val="continue"/>
            <w:tcBorders>
              <w:top w:val="single" w:color="auto" w:sz="8" w:space="0"/>
              <w:left w:val="single" w:color="auto" w:sz="8" w:space="0"/>
              <w:bottom w:val="single" w:color="000000" w:sz="8" w:space="0"/>
              <w:right w:val="single" w:color="000000" w:sz="8" w:space="0"/>
            </w:tcBorders>
            <w:vAlign w:val="center"/>
          </w:tcPr>
          <w:p w14:paraId="60E026EB">
            <w:pPr>
              <w:widowControl/>
              <w:jc w:val="left"/>
              <w:rPr>
                <w:rFonts w:hint="eastAsia" w:ascii="宋体" w:hAnsi="宋体" w:cs="宋体"/>
                <w:b/>
                <w:bCs/>
                <w:color w:val="auto"/>
                <w:kern w:val="0"/>
                <w:sz w:val="22"/>
                <w:highlight w:val="none"/>
              </w:rPr>
            </w:pPr>
          </w:p>
        </w:tc>
        <w:tc>
          <w:tcPr>
            <w:tcW w:w="1080" w:type="dxa"/>
            <w:tcBorders>
              <w:top w:val="nil"/>
              <w:left w:val="nil"/>
              <w:bottom w:val="single" w:color="auto" w:sz="8" w:space="0"/>
              <w:right w:val="single" w:color="auto" w:sz="8" w:space="0"/>
            </w:tcBorders>
            <w:vAlign w:val="center"/>
          </w:tcPr>
          <w:p w14:paraId="7D1E313A">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＞1.5mm</w:t>
            </w:r>
            <w:r>
              <w:rPr>
                <w:rFonts w:hint="eastAsia" w:ascii="宋体" w:hAnsi="宋体" w:cs="宋体"/>
                <w:b/>
                <w:bCs/>
                <w:color w:val="auto"/>
                <w:kern w:val="0"/>
                <w:sz w:val="22"/>
                <w:highlight w:val="none"/>
                <w:vertAlign w:val="superscript"/>
              </w:rPr>
              <w:t>2</w:t>
            </w:r>
          </w:p>
        </w:tc>
        <w:tc>
          <w:tcPr>
            <w:tcW w:w="910" w:type="dxa"/>
            <w:vMerge w:val="continue"/>
            <w:tcBorders>
              <w:top w:val="nil"/>
              <w:left w:val="single" w:color="auto" w:sz="8" w:space="0"/>
              <w:bottom w:val="single" w:color="000000" w:sz="8" w:space="0"/>
              <w:right w:val="single" w:color="auto" w:sz="8" w:space="0"/>
            </w:tcBorders>
            <w:vAlign w:val="center"/>
          </w:tcPr>
          <w:p w14:paraId="642441D3">
            <w:pPr>
              <w:widowControl/>
              <w:jc w:val="left"/>
              <w:rPr>
                <w:rFonts w:hint="eastAsia" w:ascii="宋体" w:hAnsi="宋体" w:cs="宋体"/>
                <w:b/>
                <w:bCs/>
                <w:color w:val="auto"/>
                <w:kern w:val="0"/>
                <w:sz w:val="22"/>
                <w:highlight w:val="none"/>
              </w:rPr>
            </w:pPr>
          </w:p>
        </w:tc>
        <w:tc>
          <w:tcPr>
            <w:tcW w:w="2497" w:type="dxa"/>
            <w:gridSpan w:val="2"/>
            <w:tcBorders>
              <w:top w:val="single" w:color="auto" w:sz="8" w:space="0"/>
              <w:left w:val="nil"/>
              <w:bottom w:val="single" w:color="auto" w:sz="8" w:space="0"/>
              <w:right w:val="single" w:color="000000" w:sz="8" w:space="0"/>
            </w:tcBorders>
            <w:vAlign w:val="center"/>
          </w:tcPr>
          <w:p w14:paraId="57C6D215">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不应有</w:t>
            </w:r>
          </w:p>
        </w:tc>
      </w:tr>
      <w:tr w14:paraId="0D77FC5B">
        <w:tblPrEx>
          <w:tblCellMar>
            <w:top w:w="0" w:type="dxa"/>
            <w:left w:w="108" w:type="dxa"/>
            <w:bottom w:w="0" w:type="dxa"/>
            <w:right w:w="108" w:type="dxa"/>
          </w:tblCellMar>
        </w:tblPrEx>
        <w:trPr>
          <w:trHeight w:val="300" w:hRule="atLeast"/>
          <w:jc w:val="center"/>
        </w:trPr>
        <w:tc>
          <w:tcPr>
            <w:tcW w:w="4243" w:type="dxa"/>
            <w:gridSpan w:val="3"/>
            <w:tcBorders>
              <w:top w:val="single" w:color="auto" w:sz="8" w:space="0"/>
              <w:left w:val="single" w:color="auto" w:sz="8" w:space="0"/>
              <w:bottom w:val="single" w:color="auto" w:sz="8" w:space="0"/>
              <w:right w:val="single" w:color="000000" w:sz="8" w:space="0"/>
            </w:tcBorders>
            <w:vAlign w:val="center"/>
          </w:tcPr>
          <w:p w14:paraId="03A82B12">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*交货水分</w:t>
            </w:r>
          </w:p>
        </w:tc>
        <w:tc>
          <w:tcPr>
            <w:tcW w:w="910" w:type="dxa"/>
            <w:tcBorders>
              <w:top w:val="nil"/>
              <w:left w:val="nil"/>
              <w:bottom w:val="single" w:color="auto" w:sz="8" w:space="0"/>
              <w:right w:val="single" w:color="auto" w:sz="8" w:space="0"/>
            </w:tcBorders>
            <w:vAlign w:val="center"/>
          </w:tcPr>
          <w:p w14:paraId="0BAE2750">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w:t>
            </w:r>
          </w:p>
        </w:tc>
        <w:tc>
          <w:tcPr>
            <w:tcW w:w="2497" w:type="dxa"/>
            <w:gridSpan w:val="2"/>
            <w:tcBorders>
              <w:top w:val="single" w:color="auto" w:sz="8" w:space="0"/>
              <w:left w:val="nil"/>
              <w:bottom w:val="nil"/>
              <w:right w:val="single" w:color="000000" w:sz="8" w:space="0"/>
            </w:tcBorders>
            <w:vAlign w:val="center"/>
          </w:tcPr>
          <w:p w14:paraId="5E0F42BC">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3.5-7.0</w:t>
            </w:r>
          </w:p>
        </w:tc>
      </w:tr>
      <w:tr w14:paraId="22ECC1BB">
        <w:tblPrEx>
          <w:tblCellMar>
            <w:top w:w="0" w:type="dxa"/>
            <w:left w:w="108" w:type="dxa"/>
            <w:bottom w:w="0" w:type="dxa"/>
            <w:right w:w="108" w:type="dxa"/>
          </w:tblCellMar>
        </w:tblPrEx>
        <w:trPr>
          <w:trHeight w:val="300" w:hRule="atLeast"/>
          <w:jc w:val="center"/>
        </w:trPr>
        <w:tc>
          <w:tcPr>
            <w:tcW w:w="4243" w:type="dxa"/>
            <w:gridSpan w:val="3"/>
            <w:tcBorders>
              <w:top w:val="single" w:color="auto" w:sz="8" w:space="0"/>
              <w:left w:val="single" w:color="auto" w:sz="8" w:space="0"/>
              <w:bottom w:val="single" w:color="auto" w:sz="8" w:space="0"/>
              <w:right w:val="single" w:color="000000" w:sz="8" w:space="0"/>
            </w:tcBorders>
            <w:vAlign w:val="center"/>
          </w:tcPr>
          <w:p w14:paraId="3EFD47B7">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*可勃值（C0bb60)</w:t>
            </w:r>
          </w:p>
        </w:tc>
        <w:tc>
          <w:tcPr>
            <w:tcW w:w="910" w:type="dxa"/>
            <w:tcBorders>
              <w:top w:val="nil"/>
              <w:left w:val="nil"/>
              <w:bottom w:val="single" w:color="auto" w:sz="8" w:space="0"/>
              <w:right w:val="nil"/>
            </w:tcBorders>
            <w:vAlign w:val="center"/>
          </w:tcPr>
          <w:p w14:paraId="4F1DD0DE">
            <w:pPr>
              <w:widowControl/>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g/m²</w:t>
            </w:r>
          </w:p>
        </w:tc>
        <w:tc>
          <w:tcPr>
            <w:tcW w:w="1221" w:type="dxa"/>
            <w:tcBorders>
              <w:top w:val="single" w:color="auto" w:sz="4" w:space="0"/>
              <w:left w:val="single" w:color="auto" w:sz="4" w:space="0"/>
              <w:bottom w:val="single" w:color="auto" w:sz="4" w:space="0"/>
              <w:right w:val="single" w:color="auto" w:sz="4" w:space="0"/>
            </w:tcBorders>
            <w:vAlign w:val="center"/>
          </w:tcPr>
          <w:p w14:paraId="33B33BBA">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≤35</w:t>
            </w:r>
          </w:p>
        </w:tc>
        <w:tc>
          <w:tcPr>
            <w:tcW w:w="1276" w:type="dxa"/>
            <w:tcBorders>
              <w:top w:val="single" w:color="auto" w:sz="4" w:space="0"/>
              <w:left w:val="nil"/>
              <w:bottom w:val="single" w:color="auto" w:sz="4" w:space="0"/>
              <w:right w:val="single" w:color="auto" w:sz="4" w:space="0"/>
            </w:tcBorders>
            <w:vAlign w:val="center"/>
          </w:tcPr>
          <w:p w14:paraId="3FD422C8">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≤45</w:t>
            </w:r>
          </w:p>
        </w:tc>
      </w:tr>
      <w:tr w14:paraId="31B85E27">
        <w:tblPrEx>
          <w:tblCellMar>
            <w:top w:w="0" w:type="dxa"/>
            <w:left w:w="108" w:type="dxa"/>
            <w:bottom w:w="0" w:type="dxa"/>
            <w:right w:w="108" w:type="dxa"/>
          </w:tblCellMar>
        </w:tblPrEx>
        <w:trPr>
          <w:trHeight w:val="300" w:hRule="atLeast"/>
          <w:jc w:val="center"/>
        </w:trPr>
        <w:tc>
          <w:tcPr>
            <w:tcW w:w="2230" w:type="dxa"/>
            <w:tcBorders>
              <w:top w:val="nil"/>
              <w:left w:val="single" w:color="auto" w:sz="8" w:space="0"/>
              <w:bottom w:val="single" w:color="auto" w:sz="8" w:space="0"/>
              <w:right w:val="single" w:color="auto" w:sz="8" w:space="0"/>
            </w:tcBorders>
            <w:noWrap/>
            <w:vAlign w:val="center"/>
          </w:tcPr>
          <w:p w14:paraId="4DE96FEB">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*净含量偏差（短缺量）</w:t>
            </w:r>
          </w:p>
        </w:tc>
        <w:tc>
          <w:tcPr>
            <w:tcW w:w="933" w:type="dxa"/>
            <w:tcBorders>
              <w:top w:val="nil"/>
              <w:left w:val="nil"/>
              <w:bottom w:val="single" w:color="auto" w:sz="8" w:space="0"/>
              <w:right w:val="single" w:color="auto" w:sz="8" w:space="0"/>
            </w:tcBorders>
            <w:noWrap/>
            <w:vAlign w:val="center"/>
          </w:tcPr>
          <w:p w14:paraId="3BCB6225">
            <w:pPr>
              <w:widowControl/>
              <w:jc w:val="left"/>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　</w:t>
            </w:r>
          </w:p>
        </w:tc>
        <w:tc>
          <w:tcPr>
            <w:tcW w:w="1080" w:type="dxa"/>
            <w:tcBorders>
              <w:top w:val="nil"/>
              <w:left w:val="nil"/>
              <w:bottom w:val="single" w:color="auto" w:sz="8" w:space="0"/>
              <w:right w:val="single" w:color="auto" w:sz="8" w:space="0"/>
            </w:tcBorders>
            <w:noWrap/>
            <w:vAlign w:val="center"/>
          </w:tcPr>
          <w:p w14:paraId="685B2414">
            <w:pPr>
              <w:widowControl/>
              <w:jc w:val="left"/>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　</w:t>
            </w:r>
          </w:p>
        </w:tc>
        <w:tc>
          <w:tcPr>
            <w:tcW w:w="910" w:type="dxa"/>
            <w:tcBorders>
              <w:top w:val="nil"/>
              <w:left w:val="nil"/>
              <w:bottom w:val="single" w:color="auto" w:sz="8" w:space="0"/>
              <w:right w:val="single" w:color="auto" w:sz="8" w:space="0"/>
            </w:tcBorders>
            <w:noWrap/>
            <w:vAlign w:val="center"/>
          </w:tcPr>
          <w:p w14:paraId="35743C14">
            <w:pPr>
              <w:widowControl/>
              <w:jc w:val="left"/>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张</w:t>
            </w:r>
          </w:p>
        </w:tc>
        <w:tc>
          <w:tcPr>
            <w:tcW w:w="2497" w:type="dxa"/>
            <w:gridSpan w:val="2"/>
            <w:tcBorders>
              <w:top w:val="nil"/>
              <w:left w:val="nil"/>
              <w:bottom w:val="single" w:color="auto" w:sz="8" w:space="0"/>
              <w:right w:val="single" w:color="000000" w:sz="8" w:space="0"/>
            </w:tcBorders>
            <w:noWrap/>
            <w:vAlign w:val="center"/>
          </w:tcPr>
          <w:p w14:paraId="035AA5E8">
            <w:pPr>
              <w:widowControl/>
              <w:jc w:val="center"/>
              <w:rPr>
                <w:rFonts w:hint="eastAsia" w:ascii="宋体" w:hAnsi="宋体" w:cs="宋体"/>
                <w:b/>
                <w:bCs/>
                <w:color w:val="auto"/>
                <w:kern w:val="0"/>
                <w:sz w:val="22"/>
                <w:highlight w:val="none"/>
              </w:rPr>
            </w:pPr>
            <w:r>
              <w:rPr>
                <w:rFonts w:hint="eastAsia" w:ascii="宋体" w:hAnsi="宋体" w:cs="宋体"/>
                <w:b/>
                <w:bCs/>
                <w:color w:val="auto"/>
                <w:kern w:val="0"/>
                <w:sz w:val="22"/>
                <w:highlight w:val="none"/>
              </w:rPr>
              <w:t>≤5</w:t>
            </w:r>
          </w:p>
        </w:tc>
      </w:tr>
    </w:tbl>
    <w:p w14:paraId="4127F623">
      <w:pPr>
        <w:tabs>
          <w:tab w:val="left" w:pos="5130"/>
        </w:tabs>
        <w:spacing w:line="360" w:lineRule="auto"/>
        <w:rPr>
          <w:rFonts w:hint="eastAsia" w:ascii="宋体" w:hAnsi="宋体" w:cs="宋体"/>
          <w:color w:val="auto"/>
          <w:sz w:val="28"/>
          <w:szCs w:val="28"/>
          <w:highlight w:val="none"/>
        </w:rPr>
      </w:pPr>
    </w:p>
    <w:p w14:paraId="3AF784C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备注：</w:t>
      </w:r>
    </w:p>
    <w:p w14:paraId="1FA31E8C">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*1、投标人必须在投标文件中提供复印纸序号1-3、1-4、1-11、1-12获得市级以上国家质量检测机构出具的产品质量检验报告</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扫描件）</w:t>
      </w:r>
      <w:r>
        <w:rPr>
          <w:rFonts w:hint="eastAsia" w:ascii="宋体" w:hAnsi="宋体" w:cs="宋体"/>
          <w:b/>
          <w:color w:val="auto"/>
          <w:sz w:val="24"/>
          <w:szCs w:val="24"/>
          <w:highlight w:val="none"/>
        </w:rPr>
        <w:t>，报告中的实测数据需达到上述要求，并加盖投标人公章。</w:t>
      </w:r>
    </w:p>
    <w:p w14:paraId="78EEF3BE">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*2、投标产品必须为全木浆产品，投标人对此应提供书面承诺函或提供相关检测证明。</w:t>
      </w:r>
    </w:p>
    <w:p w14:paraId="1F256E52">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*3、投标人应在投标文件中提供书面承诺函：承诺检测样纸与投标的纸张一致。</w:t>
      </w:r>
    </w:p>
    <w:p w14:paraId="6415C836">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投标人须在递交投标文件时提供序号1-3、1-4、1-11、1-12四种规格复印纸样品各2包。中标供应商的样品将作为验收依据，在货物供货验收完毕后给予退还。样品需在投标截止时间前，送至厦门市湖里区云顶北路842号，厦门市政务服务中心4楼A区</w:t>
      </w:r>
      <w:r>
        <w:rPr>
          <w:rFonts w:ascii="宋体" w:hAnsi="宋体" w:cs="宋体"/>
          <w:b/>
          <w:color w:val="auto"/>
          <w:sz w:val="24"/>
          <w:szCs w:val="24"/>
          <w:highlight w:val="none"/>
        </w:rPr>
        <w:t>A440</w:t>
      </w:r>
      <w:r>
        <w:rPr>
          <w:rFonts w:hint="eastAsia" w:ascii="宋体" w:hAnsi="宋体" w:cs="宋体"/>
          <w:b/>
          <w:color w:val="auto"/>
          <w:sz w:val="24"/>
          <w:szCs w:val="24"/>
          <w:highlight w:val="none"/>
        </w:rPr>
        <w:t>样品间。</w:t>
      </w:r>
    </w:p>
    <w:p w14:paraId="3FB18E60">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*5、投标人必须提供书面承诺函：承诺提供的样纸与投标的纸张一致，承诺函需加盖单位公章。</w:t>
      </w:r>
    </w:p>
    <w:p w14:paraId="719B16B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6、投标人本次投标产品的包装必须按行业通用标准包装，每500张为一包，用具有防潮性能的纸或其他材料包好、封牢。每包纸的外包装应标识明确（含批次号），以示识别。每箱内应放一张产品合格证。投标人对此必须提供书面承诺函。</w:t>
      </w:r>
    </w:p>
    <w:p w14:paraId="3E1FAE57">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二、资格证明文件</w:t>
      </w:r>
    </w:p>
    <w:p w14:paraId="0315F8A7">
      <w:pPr>
        <w:tabs>
          <w:tab w:val="left" w:pos="5130"/>
        </w:tabs>
        <w:spacing w:line="360" w:lineRule="auto"/>
        <w:ind w:firstLine="482" w:firstLineChars="200"/>
        <w:rPr>
          <w:rFonts w:hint="eastAsia" w:ascii="宋体" w:hAnsi="宋体" w:cs="宋体"/>
          <w:color w:val="auto"/>
          <w:sz w:val="24"/>
          <w:szCs w:val="24"/>
          <w:highlight w:val="none"/>
        </w:rPr>
      </w:pPr>
      <w:r>
        <w:rPr>
          <w:rFonts w:ascii="宋体" w:hAnsi="宋体" w:cs="宋体"/>
          <w:b/>
          <w:bCs/>
          <w:color w:val="auto"/>
          <w:sz w:val="24"/>
          <w:szCs w:val="24"/>
          <w:highlight w:val="none"/>
        </w:rPr>
        <w:t>*1、投标人应提供工商营业执照（副本）（加盖公章）的复印件，提供税务登记证及组织机构代码证复印件。投标人已提供加载有统一社会信用代码营业执照的，视为已提供税务登记证和组织机构代码证。</w:t>
      </w:r>
      <w:r>
        <w:rPr>
          <w:rFonts w:ascii="宋体" w:hAnsi="宋体" w:cs="宋体"/>
          <w:b/>
          <w:bCs/>
          <w:color w:val="auto"/>
          <w:sz w:val="24"/>
          <w:szCs w:val="24"/>
          <w:highlight w:val="none"/>
        </w:rPr>
        <w:br w:type="textWrapping"/>
      </w:r>
      <w:r>
        <w:rPr>
          <w:rFonts w:hint="eastAsia" w:ascii="宋体" w:hAnsi="宋体" w:cs="宋体"/>
          <w:b/>
          <w:bCs/>
          <w:color w:val="auto"/>
          <w:sz w:val="24"/>
          <w:szCs w:val="24"/>
          <w:highlight w:val="none"/>
        </w:rPr>
        <w:t xml:space="preserve">    *2、投标人全权代表若不是单位负责人，应提供单位授权书原件，并提供被授权代表身份证复印件</w:t>
      </w:r>
      <w:r>
        <w:rPr>
          <w:rFonts w:ascii="宋体" w:hAnsi="宋体" w:cs="宋体"/>
          <w:b/>
          <w:bCs/>
          <w:color w:val="auto"/>
          <w:sz w:val="24"/>
          <w:szCs w:val="24"/>
          <w:highlight w:val="none"/>
        </w:rPr>
        <w:t>。</w:t>
      </w:r>
    </w:p>
    <w:p w14:paraId="2D3F7C00">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三、售后服务要求</w:t>
      </w:r>
    </w:p>
    <w:p w14:paraId="717AFB01">
      <w:pPr>
        <w:spacing w:line="360" w:lineRule="auto"/>
        <w:ind w:firstLine="482" w:firstLineChars="200"/>
        <w:rPr>
          <w:rFonts w:hint="eastAsia" w:ascii="宋体" w:hAnsi="宋体" w:cs="宋体"/>
          <w:b/>
          <w:color w:val="auto"/>
          <w:sz w:val="24"/>
          <w:szCs w:val="24"/>
          <w:highlight w:val="none"/>
        </w:rPr>
      </w:pPr>
      <w:r>
        <w:rPr>
          <w:rFonts w:ascii="宋体" w:hAnsi="宋体" w:cs="宋体"/>
          <w:b/>
          <w:color w:val="auto"/>
          <w:sz w:val="24"/>
          <w:szCs w:val="24"/>
          <w:highlight w:val="none"/>
        </w:rPr>
        <w:t>*1、投标人必须在投标文件中提供具体的售后服务承诺条款。</w:t>
      </w:r>
    </w:p>
    <w:p w14:paraId="10B4C3DC">
      <w:pPr>
        <w:spacing w:line="360" w:lineRule="auto"/>
        <w:ind w:firstLine="482" w:firstLineChars="200"/>
        <w:rPr>
          <w:rFonts w:hint="eastAsia" w:ascii="宋体" w:hAnsi="宋体" w:cs="宋体"/>
          <w:b/>
          <w:color w:val="auto"/>
          <w:sz w:val="24"/>
          <w:szCs w:val="24"/>
          <w:highlight w:val="none"/>
        </w:rPr>
      </w:pPr>
      <w:r>
        <w:rPr>
          <w:rFonts w:ascii="宋体" w:hAnsi="宋体" w:cs="宋体"/>
          <w:b/>
          <w:color w:val="auto"/>
          <w:sz w:val="24"/>
          <w:szCs w:val="24"/>
          <w:highlight w:val="none"/>
        </w:rPr>
        <w:t>*2、本项目质量保证期：货物经客户验收合格后3个月。使用单位收到申购的复印纸后，3个月内发现质量问题，中标供应商应无条件给予更换或退货。</w:t>
      </w:r>
    </w:p>
    <w:p w14:paraId="760DB76C">
      <w:pPr>
        <w:spacing w:line="360" w:lineRule="auto"/>
        <w:ind w:firstLine="482" w:firstLineChars="200"/>
        <w:rPr>
          <w:rFonts w:hint="eastAsia" w:ascii="宋体" w:hAnsi="宋体" w:cs="宋体"/>
          <w:b/>
          <w:color w:val="auto"/>
          <w:sz w:val="24"/>
          <w:szCs w:val="24"/>
          <w:highlight w:val="none"/>
        </w:rPr>
      </w:pPr>
      <w:r>
        <w:rPr>
          <w:rFonts w:ascii="宋体" w:hAnsi="宋体" w:cs="宋体"/>
          <w:b/>
          <w:color w:val="auto"/>
          <w:sz w:val="24"/>
          <w:szCs w:val="24"/>
          <w:highlight w:val="none"/>
        </w:rPr>
        <w:t>*3、投标人须在投标文件中提供</w:t>
      </w:r>
      <w:r>
        <w:rPr>
          <w:rFonts w:hint="eastAsia" w:ascii="宋体" w:hAnsi="宋体" w:cs="宋体"/>
          <w:b/>
          <w:color w:val="auto"/>
          <w:sz w:val="24"/>
          <w:szCs w:val="24"/>
          <w:highlight w:val="none"/>
        </w:rPr>
        <w:t>书面承诺函：承诺接受《采购合同》中《服务考核细则》对其的考核并同意按考核情况处理。</w:t>
      </w:r>
    </w:p>
    <w:p w14:paraId="04EA9CA3">
      <w:pPr>
        <w:spacing w:line="360" w:lineRule="auto"/>
        <w:ind w:firstLine="482" w:firstLineChars="200"/>
        <w:rPr>
          <w:rFonts w:hint="eastAsia" w:ascii="宋体" w:hAnsi="宋体" w:cs="宋体"/>
          <w:b/>
          <w:color w:val="auto"/>
          <w:sz w:val="24"/>
          <w:szCs w:val="24"/>
          <w:highlight w:val="none"/>
        </w:rPr>
      </w:pPr>
      <w:r>
        <w:rPr>
          <w:rFonts w:ascii="宋体" w:hAnsi="宋体" w:cs="宋体"/>
          <w:b/>
          <w:color w:val="auto"/>
          <w:sz w:val="24"/>
          <w:szCs w:val="24"/>
          <w:highlight w:val="none"/>
        </w:rPr>
        <w:t>*4、</w:t>
      </w:r>
      <w:r>
        <w:rPr>
          <w:rFonts w:hint="eastAsia" w:ascii="宋体" w:hAnsi="宋体"/>
          <w:b/>
          <w:color w:val="auto"/>
          <w:sz w:val="24"/>
          <w:szCs w:val="24"/>
          <w:highlight w:val="none"/>
        </w:rPr>
        <w:t>投标人</w:t>
      </w:r>
      <w:r>
        <w:rPr>
          <w:rFonts w:hint="eastAsia" w:ascii="宋体" w:hAnsi="宋体"/>
          <w:b/>
          <w:color w:val="auto"/>
          <w:sz w:val="24"/>
          <w:szCs w:val="24"/>
          <w:highlight w:val="none"/>
        </w:rPr>
        <w:t>同意</w:t>
      </w:r>
      <w:r>
        <w:rPr>
          <w:rFonts w:hint="eastAsia" w:ascii="宋体" w:hAnsi="宋体"/>
          <w:b/>
          <w:color w:val="auto"/>
          <w:sz w:val="24"/>
          <w:szCs w:val="24"/>
          <w:highlight w:val="none"/>
        </w:rPr>
        <w:t>提供备用纸100箱，其中1-1、1-2、1-6、1-7备用纸各15箱，1-3、1-4备用纸各10箱，1-11、1-12备用纸各10箱。共提供试用及测试用纸1-3  200箱。且于中标后第一次供货时一并提供。备用纸、试用及测试纸归采购单位所有，由采购单位自行调配，合同期满后亦不予返还中标供应商。</w:t>
      </w:r>
    </w:p>
    <w:p w14:paraId="1690252D">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投标人须在投标文件中提供书面承诺函：承诺如果中标，应有指定的专人、专线服务电话对产品提供优质的售后服务。售后服务电话应每周5*8工作小时响应。接到需求电话，1工作小时内电话响应，4工作小时内上门（或处理）(注:上门服务时间，主要根据采购单位、使用单位需求而定。假如使用单位需要第二天上门处理的，要根据使用单位时间上门。但是同样的，如果使用单位需要晚上19：30后上门，中标供应商也要根据使用单位的要求上门。) 。</w:t>
      </w:r>
    </w:p>
    <w:p w14:paraId="1DF2C61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6、售后服务具体要求详见招标文件第四章采购合同。</w:t>
      </w:r>
    </w:p>
    <w:p w14:paraId="2748BC33">
      <w:pPr>
        <w:spacing w:line="360" w:lineRule="auto"/>
        <w:ind w:firstLine="482" w:firstLineChars="200"/>
        <w:rPr>
          <w:rFonts w:hint="eastAsia" w:ascii="宋体" w:hAnsi="宋体" w:cs="宋体"/>
          <w:color w:val="auto"/>
          <w:sz w:val="24"/>
          <w:szCs w:val="24"/>
          <w:highlight w:val="none"/>
        </w:rPr>
      </w:pPr>
      <w:r>
        <w:rPr>
          <w:rFonts w:hint="eastAsia" w:ascii="宋体" w:hAnsi="宋体" w:cs="宋体"/>
          <w:b/>
          <w:color w:val="auto"/>
          <w:sz w:val="24"/>
          <w:szCs w:val="24"/>
          <w:highlight w:val="none"/>
        </w:rPr>
        <w:t>*7. 售后服务网点：投标人提供书面承诺函：承诺中标后可以提供厦门市的售后服务网点数量至少</w:t>
      </w:r>
      <w:r>
        <w:rPr>
          <w:rFonts w:ascii="宋体" w:hAnsi="宋体" w:cs="宋体"/>
          <w:b/>
          <w:color w:val="auto"/>
          <w:sz w:val="24"/>
          <w:szCs w:val="24"/>
          <w:highlight w:val="none"/>
        </w:rPr>
        <w:t>2个（含）且人员超过</w:t>
      </w:r>
      <w:r>
        <w:rPr>
          <w:rFonts w:hint="eastAsia" w:ascii="宋体" w:hAnsi="宋体" w:cs="宋体"/>
          <w:b/>
          <w:color w:val="auto"/>
          <w:sz w:val="24"/>
          <w:szCs w:val="24"/>
          <w:highlight w:val="none"/>
        </w:rPr>
        <w:t>1</w:t>
      </w:r>
      <w:r>
        <w:rPr>
          <w:rFonts w:ascii="宋体" w:hAnsi="宋体" w:cs="宋体"/>
          <w:b/>
          <w:color w:val="auto"/>
          <w:sz w:val="24"/>
          <w:szCs w:val="24"/>
          <w:highlight w:val="none"/>
        </w:rPr>
        <w:t>0个（含）。</w:t>
      </w:r>
    </w:p>
    <w:p w14:paraId="0A5EE7F5">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四、报价要求</w:t>
      </w:r>
    </w:p>
    <w:p w14:paraId="23A73488">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*1、投标人报价不得超过本项目采购预算人民币</w:t>
      </w:r>
      <w:r>
        <w:rPr>
          <w:rFonts w:ascii="宋体" w:hAnsi="宋体" w:cs="宋体"/>
          <w:b/>
          <w:color w:val="auto"/>
          <w:sz w:val="24"/>
          <w:szCs w:val="24"/>
          <w:highlight w:val="none"/>
        </w:rPr>
        <w:t>46887878.14</w:t>
      </w:r>
      <w:r>
        <w:rPr>
          <w:rFonts w:hint="eastAsia" w:ascii="宋体" w:hAnsi="宋体" w:cs="宋体"/>
          <w:b/>
          <w:color w:val="auto"/>
          <w:sz w:val="24"/>
          <w:szCs w:val="24"/>
          <w:highlight w:val="none"/>
        </w:rPr>
        <w:t>元，且应按本项目各个品目号分别报价，各品目号报价不得超过其采购预算：品目号1-1人民币</w:t>
      </w:r>
      <w:r>
        <w:rPr>
          <w:rFonts w:ascii="宋体" w:hAnsi="宋体" w:cs="宋体"/>
          <w:b/>
          <w:color w:val="auto"/>
          <w:sz w:val="24"/>
          <w:szCs w:val="24"/>
          <w:highlight w:val="none"/>
        </w:rPr>
        <w:t>3042578.49</w:t>
      </w:r>
      <w:r>
        <w:rPr>
          <w:rFonts w:hint="eastAsia" w:ascii="宋体" w:hAnsi="宋体" w:cs="宋体"/>
          <w:b/>
          <w:color w:val="auto"/>
          <w:sz w:val="24"/>
          <w:szCs w:val="24"/>
          <w:highlight w:val="none"/>
        </w:rPr>
        <w:t>元，品目号1-2人民币</w:t>
      </w:r>
      <w:r>
        <w:rPr>
          <w:rFonts w:ascii="宋体" w:hAnsi="宋体" w:cs="宋体"/>
          <w:b/>
          <w:color w:val="auto"/>
          <w:sz w:val="24"/>
          <w:szCs w:val="24"/>
          <w:highlight w:val="none"/>
        </w:rPr>
        <w:t>1736120.80</w:t>
      </w:r>
      <w:r>
        <w:rPr>
          <w:rFonts w:hint="eastAsia" w:ascii="宋体" w:hAnsi="宋体" w:cs="宋体"/>
          <w:b/>
          <w:color w:val="auto"/>
          <w:sz w:val="24"/>
          <w:szCs w:val="24"/>
          <w:highlight w:val="none"/>
        </w:rPr>
        <w:t>元，品目号1-3人民币</w:t>
      </w:r>
      <w:r>
        <w:rPr>
          <w:rFonts w:ascii="宋体" w:hAnsi="宋体" w:cs="宋体"/>
          <w:b/>
          <w:color w:val="auto"/>
          <w:sz w:val="24"/>
          <w:szCs w:val="24"/>
          <w:highlight w:val="none"/>
        </w:rPr>
        <w:t>11519991.84</w:t>
      </w:r>
      <w:r>
        <w:rPr>
          <w:rFonts w:hint="eastAsia" w:ascii="宋体" w:hAnsi="宋体" w:cs="宋体"/>
          <w:b/>
          <w:color w:val="auto"/>
          <w:sz w:val="24"/>
          <w:szCs w:val="24"/>
          <w:highlight w:val="none"/>
        </w:rPr>
        <w:t>元，品目号1-4人民币</w:t>
      </w:r>
      <w:r>
        <w:rPr>
          <w:rFonts w:ascii="宋体" w:hAnsi="宋体" w:cs="宋体"/>
          <w:b/>
          <w:color w:val="auto"/>
          <w:sz w:val="24"/>
          <w:szCs w:val="24"/>
          <w:highlight w:val="none"/>
        </w:rPr>
        <w:t>9031301.20</w:t>
      </w:r>
      <w:r>
        <w:rPr>
          <w:rFonts w:hint="eastAsia" w:ascii="宋体" w:hAnsi="宋体" w:cs="宋体"/>
          <w:b/>
          <w:color w:val="auto"/>
          <w:sz w:val="24"/>
          <w:szCs w:val="24"/>
          <w:highlight w:val="none"/>
        </w:rPr>
        <w:t>元，品目号1-5人民币</w:t>
      </w:r>
      <w:r>
        <w:rPr>
          <w:rFonts w:ascii="宋体" w:hAnsi="宋体" w:cs="宋体"/>
          <w:b/>
          <w:color w:val="auto"/>
          <w:sz w:val="24"/>
          <w:szCs w:val="24"/>
          <w:highlight w:val="none"/>
        </w:rPr>
        <w:t>13580908.94</w:t>
      </w:r>
      <w:r>
        <w:rPr>
          <w:rFonts w:hint="eastAsia" w:ascii="宋体" w:hAnsi="宋体" w:cs="宋体"/>
          <w:b/>
          <w:color w:val="auto"/>
          <w:sz w:val="24"/>
          <w:szCs w:val="24"/>
          <w:highlight w:val="none"/>
        </w:rPr>
        <w:t>元，品目号1-6人民币</w:t>
      </w:r>
      <w:r>
        <w:rPr>
          <w:rFonts w:ascii="宋体" w:hAnsi="宋体" w:cs="宋体"/>
          <w:b/>
          <w:color w:val="auto"/>
          <w:sz w:val="24"/>
          <w:szCs w:val="24"/>
          <w:highlight w:val="none"/>
        </w:rPr>
        <w:t>1011059.79</w:t>
      </w:r>
      <w:r>
        <w:rPr>
          <w:rFonts w:hint="eastAsia" w:ascii="宋体" w:hAnsi="宋体" w:cs="宋体"/>
          <w:b/>
          <w:color w:val="auto"/>
          <w:sz w:val="24"/>
          <w:szCs w:val="24"/>
          <w:highlight w:val="none"/>
        </w:rPr>
        <w:t>元，品目号1-7人民币</w:t>
      </w:r>
      <w:r>
        <w:rPr>
          <w:rFonts w:ascii="宋体" w:hAnsi="宋体" w:cs="宋体"/>
          <w:b/>
          <w:color w:val="auto"/>
          <w:sz w:val="24"/>
          <w:szCs w:val="24"/>
          <w:highlight w:val="none"/>
        </w:rPr>
        <w:t>432839.80</w:t>
      </w:r>
      <w:r>
        <w:rPr>
          <w:rFonts w:hint="eastAsia" w:ascii="宋体" w:hAnsi="宋体" w:cs="宋体"/>
          <w:b/>
          <w:color w:val="auto"/>
          <w:sz w:val="24"/>
          <w:szCs w:val="24"/>
          <w:highlight w:val="none"/>
        </w:rPr>
        <w:t>元，品目号1-8人民币</w:t>
      </w:r>
      <w:r>
        <w:rPr>
          <w:rFonts w:ascii="宋体" w:hAnsi="宋体" w:cs="宋体"/>
          <w:b/>
          <w:color w:val="auto"/>
          <w:sz w:val="24"/>
          <w:szCs w:val="24"/>
          <w:highlight w:val="none"/>
        </w:rPr>
        <w:t>60925.08</w:t>
      </w:r>
      <w:r>
        <w:rPr>
          <w:rFonts w:hint="eastAsia" w:ascii="宋体" w:hAnsi="宋体" w:cs="宋体"/>
          <w:b/>
          <w:color w:val="auto"/>
          <w:sz w:val="24"/>
          <w:szCs w:val="24"/>
          <w:highlight w:val="none"/>
        </w:rPr>
        <w:t>元，品目号1-9人民币</w:t>
      </w:r>
      <w:r>
        <w:rPr>
          <w:rFonts w:ascii="宋体" w:hAnsi="宋体" w:cs="宋体"/>
          <w:b/>
          <w:color w:val="auto"/>
          <w:sz w:val="24"/>
          <w:szCs w:val="24"/>
          <w:highlight w:val="none"/>
        </w:rPr>
        <w:t>30386.20</w:t>
      </w:r>
      <w:r>
        <w:rPr>
          <w:rFonts w:hint="eastAsia" w:ascii="宋体" w:hAnsi="宋体" w:cs="宋体"/>
          <w:b/>
          <w:color w:val="auto"/>
          <w:sz w:val="24"/>
          <w:szCs w:val="24"/>
          <w:highlight w:val="none"/>
        </w:rPr>
        <w:t>元，品目号1-10人民币</w:t>
      </w:r>
      <w:r>
        <w:rPr>
          <w:rFonts w:ascii="宋体" w:hAnsi="宋体" w:cs="宋体"/>
          <w:b/>
          <w:color w:val="auto"/>
          <w:sz w:val="24"/>
          <w:szCs w:val="24"/>
          <w:highlight w:val="none"/>
        </w:rPr>
        <w:t>278496.00</w:t>
      </w:r>
      <w:r>
        <w:rPr>
          <w:rFonts w:hint="eastAsia" w:ascii="宋体" w:hAnsi="宋体" w:cs="宋体"/>
          <w:b/>
          <w:color w:val="auto"/>
          <w:sz w:val="24"/>
          <w:szCs w:val="24"/>
          <w:highlight w:val="none"/>
        </w:rPr>
        <w:t>元，品目号1-11人民币</w:t>
      </w:r>
      <w:r>
        <w:rPr>
          <w:rFonts w:ascii="宋体" w:hAnsi="宋体" w:cs="宋体"/>
          <w:b/>
          <w:color w:val="auto"/>
          <w:sz w:val="24"/>
          <w:szCs w:val="24"/>
          <w:highlight w:val="none"/>
        </w:rPr>
        <w:t>2165440.00</w:t>
      </w:r>
      <w:r>
        <w:rPr>
          <w:rFonts w:hint="eastAsia" w:ascii="宋体" w:hAnsi="宋体" w:cs="宋体"/>
          <w:b/>
          <w:color w:val="auto"/>
          <w:sz w:val="24"/>
          <w:szCs w:val="24"/>
          <w:highlight w:val="none"/>
        </w:rPr>
        <w:t>元，品目号1-12人民币</w:t>
      </w:r>
      <w:r>
        <w:rPr>
          <w:rFonts w:ascii="宋体" w:hAnsi="宋体" w:cs="宋体"/>
          <w:b/>
          <w:color w:val="auto"/>
          <w:sz w:val="24"/>
          <w:szCs w:val="24"/>
          <w:highlight w:val="none"/>
        </w:rPr>
        <w:t>773450.00</w:t>
      </w:r>
      <w:r>
        <w:rPr>
          <w:rFonts w:hint="eastAsia" w:ascii="宋体" w:hAnsi="宋体" w:cs="宋体"/>
          <w:b/>
          <w:color w:val="auto"/>
          <w:sz w:val="24"/>
          <w:szCs w:val="24"/>
          <w:highlight w:val="none"/>
        </w:rPr>
        <w:t>元，品目号1-13人民币</w:t>
      </w:r>
      <w:r>
        <w:rPr>
          <w:rFonts w:ascii="宋体" w:hAnsi="宋体" w:cs="宋体"/>
          <w:b/>
          <w:color w:val="auto"/>
          <w:sz w:val="24"/>
          <w:szCs w:val="24"/>
          <w:highlight w:val="none"/>
        </w:rPr>
        <w:t>406020.00</w:t>
      </w:r>
      <w:r>
        <w:rPr>
          <w:rFonts w:hint="eastAsia" w:ascii="宋体" w:hAnsi="宋体" w:cs="宋体"/>
          <w:b/>
          <w:color w:val="auto"/>
          <w:sz w:val="24"/>
          <w:szCs w:val="24"/>
          <w:highlight w:val="none"/>
        </w:rPr>
        <w:t>元，品目号1-14人民币</w:t>
      </w:r>
      <w:r>
        <w:rPr>
          <w:rFonts w:ascii="宋体" w:hAnsi="宋体" w:cs="宋体"/>
          <w:b/>
          <w:color w:val="auto"/>
          <w:sz w:val="24"/>
          <w:szCs w:val="24"/>
          <w:highlight w:val="none"/>
        </w:rPr>
        <w:t>154690.00</w:t>
      </w:r>
      <w:r>
        <w:rPr>
          <w:rFonts w:hint="eastAsia" w:ascii="宋体" w:hAnsi="宋体" w:cs="宋体"/>
          <w:b/>
          <w:color w:val="auto"/>
          <w:sz w:val="24"/>
          <w:szCs w:val="24"/>
          <w:highlight w:val="none"/>
        </w:rPr>
        <w:t>元，品目号1-15人民币</w:t>
      </w:r>
      <w:r>
        <w:rPr>
          <w:rFonts w:ascii="宋体" w:hAnsi="宋体" w:cs="宋体"/>
          <w:b/>
          <w:color w:val="auto"/>
          <w:sz w:val="24"/>
          <w:szCs w:val="24"/>
          <w:highlight w:val="none"/>
        </w:rPr>
        <w:t>2559200.00</w:t>
      </w:r>
      <w:r>
        <w:rPr>
          <w:rFonts w:hint="eastAsia" w:ascii="宋体" w:hAnsi="宋体" w:cs="宋体"/>
          <w:b/>
          <w:color w:val="auto"/>
          <w:sz w:val="24"/>
          <w:szCs w:val="24"/>
          <w:highlight w:val="none"/>
        </w:rPr>
        <w:t>元，品目号1-16人民币</w:t>
      </w:r>
      <w:r>
        <w:rPr>
          <w:rFonts w:ascii="宋体" w:hAnsi="宋体" w:cs="宋体"/>
          <w:b/>
          <w:color w:val="auto"/>
          <w:sz w:val="24"/>
          <w:szCs w:val="24"/>
          <w:highlight w:val="none"/>
        </w:rPr>
        <w:t>104470.00</w:t>
      </w:r>
      <w:r>
        <w:rPr>
          <w:rFonts w:hint="eastAsia" w:ascii="宋体" w:hAnsi="宋体" w:cs="宋体"/>
          <w:b/>
          <w:color w:val="auto"/>
          <w:sz w:val="24"/>
          <w:szCs w:val="24"/>
          <w:highlight w:val="none"/>
        </w:rPr>
        <w:t xml:space="preserve">元。  </w:t>
      </w:r>
    </w:p>
    <w:p w14:paraId="0376EEFE">
      <w:pPr>
        <w:pStyle w:val="7"/>
        <w:tabs>
          <w:tab w:val="left" w:pos="0"/>
        </w:tabs>
        <w:spacing w:line="360" w:lineRule="auto"/>
        <w:ind w:left="0"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2、投标人须以人民币报价且总报价含货物（复印纸）费、运至使用单位指定地点的运输费和伴随服务费、税费、验收等所有与完成本项目有关的一切费用（投标人可在分项报价表中详细列出报价，如果所列分项报价不含以上内容，则视为已含在报价总价中），本项目为交钥匙总包价。</w:t>
      </w:r>
    </w:p>
    <w:p w14:paraId="7763288C">
      <w:pPr>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*3、报价以人民币为货币单位，投标人必须列出招标货物一览表中各品目号货物的单价及总价。</w:t>
      </w:r>
    </w:p>
    <w:p w14:paraId="6846E4BE">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color w:val="auto"/>
          <w:sz w:val="24"/>
          <w:szCs w:val="24"/>
          <w:highlight w:val="none"/>
        </w:rPr>
        <w:t>4、投标人的投标方案与报价只能有一个，采购单位不接受有选择性的报价。</w:t>
      </w:r>
    </w:p>
    <w:p w14:paraId="2747E3D7">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color w:val="auto"/>
          <w:sz w:val="24"/>
          <w:szCs w:val="24"/>
          <w:highlight w:val="none"/>
        </w:rPr>
        <w:t>5、交货方式：为了保障本项目货物存储及配送的及时性和安全性，同时兼顾大宗货物的集中仓储和集中配送运作模式的要求，本项目的货物仓储及配送可选择以下两种运作模式：</w:t>
      </w:r>
    </w:p>
    <w:p w14:paraId="58A119DD">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5.1投标人委托采购单位推荐的第三方物流公司进行集中仓储和二次配送至最终用户。</w:t>
      </w:r>
    </w:p>
    <w:p w14:paraId="346A50A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5.1.1投标人在接到采购单位《定货单》之日起25个日历日之内货交至采购单位推荐的第三方物流仓库，第三方物流在接到采购单位通知后厦门市行政区域内24小时、厦门市行政区域外48小时内运送至最终用户。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二次配送费用为9元/箱，仓储操作费6元/箱。投标人应在采购单位发出《定货单》之日起10个工作日内结算已产生的相关物流费用，若投标人未及时结算物流费用，采购单位有权在履约保证金或应付货款中直接扣除。</w:t>
      </w:r>
    </w:p>
    <w:p w14:paraId="11544288">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5.2投标人选择经采购单位评估认可的、符合本项目运作要求的合格第三方物流公司进行集中仓储和二次配送。</w:t>
      </w:r>
    </w:p>
    <w:p w14:paraId="5BAF23F4">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5.2.1采购单位对第三方物流公司的评估标准包括但不限于：</w:t>
      </w:r>
    </w:p>
    <w:p w14:paraId="7AC5426E">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（1）经营主体需具备合法经营资格及开展仓配业务的相关资质，提供完整、有效、清晰的扫描文件，包括不限于营业执照、道路运输经营运营许可等，确保资质合规且在有效期内。</w:t>
      </w:r>
    </w:p>
    <w:p w14:paraId="2F7DE2B4">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自有或者租赁的经营场所权属清晰，需提供相应证明材料如产权证、租赁合同等扫描件，运营场所需能满足常规商品存储需求（防潮、防污、防破损、防霉变）、功能区划分布局合理，需提供仓储规划方案和照片。</w:t>
      </w:r>
    </w:p>
    <w:p w14:paraId="0F288BA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（3）仓库建筑消防等级不低于二级，符合《建筑设计防火规范》（GB 50016）相关要求，并经消防部门验收合格，需提供有效的消防验收意见书，消防设施设备配置齐全、完好有效。</w:t>
      </w:r>
    </w:p>
    <w:p w14:paraId="2E12C03D">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日常消防维保和电气检测，需要建立消防设施设备日常维护保养制度，每半年委托具备资质的第三方机构进行一次全面检测，确保消防设施设备始终处于良好运行状态，每一年委托具备资质的第三方机构进行一次电气消防安全检测，需提供消防维保计划和电气消防安全检测报告。</w:t>
      </w:r>
    </w:p>
    <w:p w14:paraId="3E2C6DF2">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经营主体配备有充足、完善的仓储装卸、配送车辆等硬件设备，满足仓配业务的高效运营需求，包括不限于叉车、托盘车、夹包机、液压车、托盘、各规格的配送车辆、推车等物流设备；设备日常维护到位，确保作业顺畅，需提供详细的货物装卸和货物配送方案。</w:t>
      </w:r>
    </w:p>
    <w:p w14:paraId="4529312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6）经营主体需具备完善的物流信息管理系统，实现仓配业务全流程信息化、智能化管理，确保货物入库、存储、分拣、出库、配送等环节可追溯、高效协同。仓储管理系统除正常的商品管理和分拣功能外，需可实现先进先出管理、质保期管控等模块；物流配送管理系统需可实时反馈订单状态并上传订单签收信息。需提供物流信息管理系统各功能模块照片。</w:t>
      </w:r>
    </w:p>
    <w:p w14:paraId="19FD1A1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（7）经营主体需购买足额的货物仓储一切险、货物运输险，保额和保险期限覆盖最高库存峰值以及整个合作周期，能够有效应对货物损坏、丢失、意外事故等风险，需要提供完整的保险保单及投保证明。</w:t>
      </w:r>
    </w:p>
    <w:p w14:paraId="4E070ED4">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8）需提供完善的应急处置方案，针对自然灾害、人为事故、特殊客诉等突发事件，提前制定应急预案，配备相应应急物资（如灭火器、急救箱、应急车辆等），定期组织应急演练，优化应急方案，确保突发事件发生时能够及时响应、有效处置，最大限度减少损失。</w:t>
      </w:r>
    </w:p>
    <w:p w14:paraId="783A51BC">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5.2.2合同签订后</w:t>
      </w:r>
      <w:r>
        <w:rPr>
          <w:rFonts w:hint="default" w:ascii="宋体" w:hAnsi="宋体" w:cs="宋体"/>
          <w:b/>
          <w:color w:val="auto"/>
          <w:sz w:val="24"/>
          <w:szCs w:val="24"/>
          <w:highlight w:val="none"/>
        </w:rPr>
        <w:t>10个日历日</w:t>
      </w:r>
      <w:r>
        <w:rPr>
          <w:rFonts w:hint="eastAsia" w:ascii="宋体" w:hAnsi="宋体" w:cs="宋体"/>
          <w:b/>
          <w:color w:val="auto"/>
          <w:sz w:val="24"/>
          <w:szCs w:val="24"/>
          <w:highlight w:val="none"/>
        </w:rPr>
        <w:t>内，投标人须协调其自身或第三方物流公司的仓储管理系统（WMS）、配送管理系统（TMS），完成与采购单位企业资源计划（ERP）系统的全流程技术对接，以确保系统间数据实时互通、同步一致，相关技术实施、系统对接工作及采购单位ERP系统接口改造相关工作，均由投标人全权负责。所有相关费用（含接口开发、调试、联调、ERP接口改造及后期维护等全部费用）均由投标人承担，采购单位不额外支付任何费用。系统对接的标准规范和内容要求如下：</w:t>
      </w:r>
    </w:p>
    <w:p w14:paraId="78A32E74">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（1）系统对接须遵循采购单位ERP系统既定的技术标准及接口规范，采用标准化接口协议（优先支持RESTful API或WebService协议），实现接口双向通信及数据实时交互，对接过程需严格遵守采购单位数据安全管理规定，采取加密传输（如HTTPS协议）、身份认证（如Token令牌验证）、数据脱敏等安全措施，严防数据泄露、篡改、丢失，确保数据传输及存储的安全性、完整性和保密性。</w:t>
      </w:r>
    </w:p>
    <w:p w14:paraId="325C4F47">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对接内容须全面覆盖本项目全流程业务数据，确保无遗漏、无延迟，具体包括但不限于：库存数据（实时库存数量、库存位置、库存状态、滞销/临期库存预警）、采购到货数据（预计到货时间、到货批次、到货数量、供应商信息）、出库发货数据（已发货数量、发货批次、发货时间、收货方信息）、待发运数据（即将发货数量、待发运清单、发运优先级）、物流跟踪数据（发货单编号、承运司机姓名及联系方式、车牌号码、车辆定位、实时运输状态、司机实时在线状态、司机实时位置更新、司机行程轨迹回溯）、时效管理数据（预计到货时间、实际到货时间、时效偏差预警）、退换货数据（退换货申请信息、退换货原因、退换货数量、退换货入库状态、理赔进度）等核心业务信息，同时须支持司机实时相关功能，包括但不限于司机实时在线状态监测、司机实时位置动态更新、司机行程轨迹实时回溯及异常情况（如偏离路线、停留超时）实时预警，确保采购单位可通过ERP系统实时监控、查询本项目仓储配送全流程及司机作业状态，保障配送及时性、准确性及安全性。</w:t>
      </w:r>
    </w:p>
    <w:p w14:paraId="18A3E5C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（3）仓储管理系统和配送管理系统可支撑本项目业务量峰值及未来业务拓展需求，接口响应时间≤300ms，数据同步延迟≤3分钟，系统全年可用率≥99.9%，无重大系统故障（单次故障持续时间≤1小时）。</w:t>
      </w:r>
    </w:p>
    <w:p w14:paraId="34A6D53B">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系统对接完成后，投标人须提交完整的接口开发文档、测试报告（含功能测试、性能测试、安全测试、兼容性测试）、系统部署文档、操作手册及维护方案，由采购单位技术部门组织专项验收，验收内容包括接口功能完整性、数据传输准确性、系统稳定性、安全性及文档规范性等，验收合格并出具验收报告后，系统方可正式投入使用；若验收不合格，投标人须在采购单位指定期限内完成整改，整改费用由投标人自行承担，若逾期未完成整改或整改后仍不合格，为了保障本项目顺利运行，采购单位有权要求投标人使用采购单位推荐的第三方物流公司，投标人除承担运送至第三方物流仓库的费用，还应同时承担货物入第三方物流仓库的仓储操作费、从第三方物流仓库运送至最终用户的二次配送费等相应费用，采购单位推荐的第三方物流的仓储操作费及二次配送费的收费标准如下：二次配送费用为9元/箱，仓储操作费6元/箱。投标人应在采购单位发出《定货单》之日起10个工作日内结算已产生的相关物流费用，若投标人未及时结算物流费用，采购单位有权在履约保证金或应付货款中直接扣除。</w:t>
      </w:r>
    </w:p>
    <w:p w14:paraId="6EEA6E08">
      <w:pPr>
        <w:spacing w:line="360" w:lineRule="auto"/>
        <w:ind w:firstLine="420"/>
        <w:rPr>
          <w:rFonts w:hint="eastAsia" w:ascii="宋体" w:hAnsi="宋体" w:cs="宋体"/>
          <w:b/>
          <w:color w:val="auto"/>
          <w:sz w:val="24"/>
          <w:szCs w:val="24"/>
          <w:highlight w:val="none"/>
        </w:rPr>
      </w:pPr>
      <w:r>
        <w:rPr>
          <w:rFonts w:hint="eastAsia" w:ascii="宋体" w:hAnsi="宋体" w:cs="宋体"/>
          <w:b/>
          <w:color w:val="auto"/>
          <w:sz w:val="24"/>
          <w:szCs w:val="24"/>
          <w:highlight w:val="none"/>
        </w:rPr>
        <w:t>5.2.3投标人在接到采购单位《定货单》之日起25个日历日之内货交至投标人自有的仓库或第三方物流仓库，投标人在接到采购单位通知后厦门市行政区域内24小时、厦门市行政区域外48小时内运送至最终用户。</w:t>
      </w:r>
    </w:p>
    <w:p w14:paraId="37DAE5EB">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五、付款方式</w:t>
      </w:r>
    </w:p>
    <w:p w14:paraId="511C538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投标人须对以下条款提供书面承诺函：</w:t>
      </w:r>
    </w:p>
    <w:p w14:paraId="6BB1BB76">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*1、交货方式：合同签订后分批供货，按批次支付货款。</w:t>
      </w:r>
    </w:p>
    <w:p w14:paraId="3510DF96">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2.1、投标人选择委托采购单位推荐的第三方物流进行集中仓储和二次配送的，货交至采购单位推荐的第三方物流仓库，经采购单位初验合格后，采购单位凭下列单证和文件在30个日历日内向投标人支付该批次货款金额100%的6个月承兑期限的银行承兑汇票（银行范围仅限下述银行：中国银行、中国农业银行 、中国工商银行、中国建设银行、中信银行、光大银行、华夏银行、广东发展银行、深圳发展银行、招商银行、上海浦东发展银行、兴业银行、民生银行和平安银行）：</w:t>
      </w:r>
    </w:p>
    <w:p w14:paraId="1AF35CCC">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a.金额为100%的该批次货款的一般纳税人增值税专用发票；</w:t>
      </w:r>
    </w:p>
    <w:p w14:paraId="5EA6819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b.投标人已缴纳该批货物的中标/成交服务费和相应的二次配送费用、仓储操作费的证明材料；</w:t>
      </w:r>
    </w:p>
    <w:p w14:paraId="7A3A615D">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c.采购单位已收讫的该批次货物的《签收单》。</w:t>
      </w:r>
    </w:p>
    <w:p w14:paraId="5830E37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但是，采购单位向投标人支付货款并不表示送入仓库的货物通过最终验收。</w:t>
      </w:r>
    </w:p>
    <w:p w14:paraId="09B61E26">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2.2、投标人选择自行集中仓储和配送的，货物经最终用户签收并验收合格后，采购单位凭下列单证和文件在30个日历日内向投标人支付该批次货款金额100%的6个月承兑期限的银行承兑汇票（银行范围仅限下述银行：中国银行、中国农业银行 、中国工商银行、中国建设银行、中信银行、光大银行、华夏银行、广东发展银行、深圳发展银行、招商银行、上海浦东发展银行、兴业银行、民生银行和平安银行）：</w:t>
      </w:r>
    </w:p>
    <w:p w14:paraId="4F025C85">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a.金额为100%的该批次货款的一般纳税人增值税专用发票；</w:t>
      </w:r>
    </w:p>
    <w:p w14:paraId="79D52F84">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b.投标人已缴纳该批货物的中标服务费的证明材料；</w:t>
      </w:r>
    </w:p>
    <w:p w14:paraId="1CC85ECF">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c. 该批次货物的《验收报告》(经最终用户签署)。</w:t>
      </w:r>
    </w:p>
    <w:p w14:paraId="589B117D">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*3、上述银行承兑汇票的贴现利息及相关贴现手续费用由中标供应商承担，中标供应商收到汇票即视为采购单位已支付货款。</w:t>
      </w:r>
    </w:p>
    <w:p w14:paraId="32A8CDD1">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*4、总报价为送至采购单位指定地点的完税人民币价格；采购单位付款时，中标供应商必须提供一般纳税人增值税专用发票。否则，采购单位有权拒绝支付相应款项。</w:t>
      </w:r>
    </w:p>
    <w:p w14:paraId="44F1C24D">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备注：投标人可提出比以上内容更有利于采购单位的付款方式。</w:t>
      </w:r>
    </w:p>
    <w:p w14:paraId="4CD4B785">
      <w:pPr>
        <w:spacing w:line="360" w:lineRule="auto"/>
        <w:rPr>
          <w:rFonts w:hint="eastAsia" w:ascii="宋体" w:hAnsi="宋体" w:cs="宋体"/>
          <w:b/>
          <w:color w:val="auto"/>
          <w:sz w:val="24"/>
          <w:szCs w:val="24"/>
          <w:highlight w:val="none"/>
        </w:rPr>
      </w:pPr>
    </w:p>
    <w:p w14:paraId="69655752">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六、其他要求及说明</w:t>
      </w:r>
    </w:p>
    <w:p w14:paraId="36FB86F9">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*1、供货期：一年。若合同到期之日下一期采购合同尚未生效，本合同自动顺延至下一期新的合同生效之日止。</w:t>
      </w:r>
    </w:p>
    <w:p w14:paraId="685F63F2">
      <w:pPr>
        <w:spacing w:line="360" w:lineRule="auto"/>
        <w:ind w:firstLine="420"/>
        <w:rPr>
          <w:rFonts w:hint="default" w:ascii="宋体" w:hAnsi="宋体" w:cs="宋体"/>
          <w:b/>
          <w:color w:val="auto"/>
          <w:sz w:val="24"/>
          <w:szCs w:val="24"/>
          <w:highlight w:val="none"/>
        </w:rPr>
      </w:pPr>
      <w:r>
        <w:rPr>
          <w:rFonts w:hint="eastAsia" w:ascii="宋体" w:hAnsi="宋体" w:cs="宋体"/>
          <w:b/>
          <w:color w:val="auto"/>
          <w:sz w:val="24"/>
          <w:szCs w:val="24"/>
          <w:highlight w:val="none"/>
        </w:rPr>
        <w:t>*2、投标人需对交货期做出承诺，并提供书面承诺函。其中承诺在接到采购单位《定货单》之日起25个日历日之内货交至投标人自有的仓库或</w:t>
      </w:r>
      <w:r>
        <w:rPr>
          <w:rFonts w:hint="default" w:ascii="宋体" w:hAnsi="宋体" w:cs="宋体"/>
          <w:b/>
          <w:color w:val="auto"/>
          <w:sz w:val="24"/>
          <w:szCs w:val="24"/>
          <w:highlight w:val="none"/>
        </w:rPr>
        <w:t>采购单位推荐的</w:t>
      </w:r>
      <w:r>
        <w:rPr>
          <w:rFonts w:hint="eastAsia" w:ascii="宋体" w:hAnsi="宋体" w:cs="宋体"/>
          <w:b/>
          <w:color w:val="auto"/>
          <w:sz w:val="24"/>
          <w:szCs w:val="24"/>
          <w:highlight w:val="none"/>
        </w:rPr>
        <w:t>第三方物流仓库，投标人在接到采购单位通知后厦门市行政区域内24小时、厦门市行政区域外48小时内运送至最终用户</w:t>
      </w:r>
      <w:r>
        <w:rPr>
          <w:rFonts w:hint="default" w:ascii="宋体" w:hAnsi="宋体" w:cs="宋体"/>
          <w:b/>
          <w:color w:val="auto"/>
          <w:sz w:val="24"/>
          <w:szCs w:val="24"/>
          <w:highlight w:val="none"/>
        </w:rPr>
        <w:t>。</w:t>
      </w:r>
    </w:p>
    <w:p w14:paraId="7EC5AE3A">
      <w:pPr>
        <w:spacing w:line="360" w:lineRule="auto"/>
        <w:ind w:firstLine="482" w:firstLineChars="200"/>
        <w:rPr>
          <w:rFonts w:hint="eastAsia" w:ascii="宋体" w:hAnsi="宋体" w:cs="宋体"/>
          <w:b/>
          <w:color w:val="auto"/>
          <w:sz w:val="24"/>
          <w:szCs w:val="24"/>
          <w:highlight w:val="none"/>
        </w:rPr>
      </w:pPr>
    </w:p>
    <w:p w14:paraId="4D85F1C6">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3、中标供应商应自觉接受厦门市财政局的监督管理。</w:t>
      </w:r>
    </w:p>
    <w:p w14:paraId="4C0C5158">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投标人必须在投标文件中提供书面承诺函：一旦中标，承诺在合同签订之日起7个日历日内向采购单位交纳履约保证金（100万元整），履约保证金形式可为转账支票或电汇凭证（不收取现金、现金支票）。履约保证金在合同签订生效后15个月后的15个工作日内一次性无息返还（扣除相应费用）。逾期未缴交的，采购单位有权取消其中标资格并上报政府采购监督管理部门。</w:t>
      </w:r>
    </w:p>
    <w:p w14:paraId="79B94BE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5、采购单位有权按照合同中的《服务考核细则》对中标供应商进行考核。</w:t>
      </w:r>
    </w:p>
    <w:p w14:paraId="02FBE42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6、投标人还应在投标文件中提供能够体现公司实力的证明文件，如:</w:t>
      </w:r>
    </w:p>
    <w:p w14:paraId="7BCB820C">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投标人企业简介（含企业规模、组织机构、专业技术力量组成、质量管理体系等）及投标产品制造商的企业说明（企业年生产能力、雇员人数、生产工艺及自动化程度、质量管理体系、注册资金、经营时间、供货能力、报价品牌的市场占有情况等）。</w:t>
      </w:r>
    </w:p>
    <w:p w14:paraId="1AE98F1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（2）报价企业和投标产品如有以下情况，应在投标文件中提供相关证明文件：产品获国家部委行政主管部门以及国家质量测评机构的评奖情况证明文件。</w:t>
      </w:r>
    </w:p>
    <w:p w14:paraId="732A095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投标人及投标产品品牌的服务承诺方案。投标人应提供详尽周全、切实可行的售前、售中及售后服务方案和服务承诺；售后服务承诺至少应包含以下内容:投入本项目的人员管理体系；供货响应时间等；售后服务热线电话联系人、联系方式；产品质保期；采购单位反映情况及回访情况及其他需要说明的内容。</w:t>
      </w:r>
    </w:p>
    <w:p w14:paraId="59ECC9E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（4）招标文件规定需要提供的其他文件及投标人认为需加以说明的其它内容。</w:t>
      </w:r>
    </w:p>
    <w:p w14:paraId="55DD58B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以上几个方面的文件应集中装订成册、标明页码并填写“投标文件资料清单”。由于编排混乱导致投标文件被误读或查找不到，其后果由投标人自行承担。</w:t>
      </w:r>
    </w:p>
    <w:p w14:paraId="052ADEF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7、投标人应在投标文件中列表对招标文件第二章中的商务和技术评分条款进行一对一的响应说明，并提供相应证明资料。</w:t>
      </w:r>
    </w:p>
    <w:p w14:paraId="09687816">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*8、投标人必须在投标文件中提供书面承诺函：如果</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，采购单位有权按照投标人投标文件中所提供的市级以上国家质量检测机构出具的产品质量检验报告</w:t>
      </w:r>
      <w:r>
        <w:rPr>
          <w:rFonts w:hint="eastAsia" w:ascii="宋体" w:hAnsi="宋体" w:cs="宋体"/>
          <w:b/>
          <w:color w:val="auto"/>
          <w:sz w:val="24"/>
          <w:szCs w:val="24"/>
          <w:highlight w:val="none"/>
          <w:lang w:eastAsia="zh-CN"/>
        </w:rPr>
        <w:t>（扫描件）</w:t>
      </w:r>
      <w:r>
        <w:rPr>
          <w:rFonts w:hint="eastAsia" w:ascii="宋体" w:hAnsi="宋体" w:cs="宋体"/>
          <w:b/>
          <w:color w:val="auto"/>
          <w:sz w:val="24"/>
          <w:szCs w:val="24"/>
          <w:highlight w:val="none"/>
        </w:rPr>
        <w:t>的内容来作为产品入库的验收标准，如果无法达到投标文件中的检验报告</w:t>
      </w:r>
      <w:r>
        <w:rPr>
          <w:rFonts w:hint="eastAsia" w:ascii="宋体" w:hAnsi="宋体" w:cs="宋体"/>
          <w:b/>
          <w:color w:val="auto"/>
          <w:sz w:val="24"/>
          <w:szCs w:val="24"/>
          <w:highlight w:val="none"/>
          <w:lang w:eastAsia="zh-CN"/>
        </w:rPr>
        <w:t>（扫描件）</w:t>
      </w:r>
      <w:r>
        <w:rPr>
          <w:rFonts w:hint="eastAsia" w:ascii="宋体" w:hAnsi="宋体" w:cs="宋体"/>
          <w:b/>
          <w:color w:val="auto"/>
          <w:sz w:val="24"/>
          <w:szCs w:val="24"/>
          <w:highlight w:val="none"/>
        </w:rPr>
        <w:t>中的数值，采购单位有权要求退货，同时有权单方面终止合同，并没收投标人的履约保证金。</w:t>
      </w:r>
    </w:p>
    <w:p w14:paraId="525AF6EB">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*9、投标人必须在投标文件中提供书面承诺函：如获</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将配合采购单位及产品检验检测机构进行投标产品的检验检测，产品检验检测产生的一切相关费用由中标供应商承担。</w:t>
      </w:r>
    </w:p>
    <w:p w14:paraId="49A561E4">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10、投标人必须在投标文件中提供书面承诺函：中标供应商不按采购合同履行的，采购单位有权与排位在中标供应商之后第一位的中标候选供应商签订采购合同，以此类推。并且，作为中标供应商之后第一位的中标候选供应商同意与采购单位在</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结果公示期结束后直接按其报价签订采购合同。</w:t>
      </w:r>
    </w:p>
    <w:p w14:paraId="5E7DA6D5">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11、投标人必须在投标文件中提供书面承诺函：如果中标，在履行合同期间，如果出现以下任一情况，采购单位有权单方解除合同，中标供应商应支付相当于履约保证金金额的违约金。同时，对中标供应商下述情况在厦门市政府采购网、厦门招投标网进行公示，并在三年内取消中标供应商进入大宗政府招标采购项目的投标报价：</w:t>
      </w:r>
    </w:p>
    <w:p w14:paraId="28D00B1C">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①违反法律法规、行业规范要求被有关部门查处的；</w:t>
      </w:r>
    </w:p>
    <w:p w14:paraId="110BC2C2">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②提供假冒伪劣产品的；</w:t>
      </w:r>
    </w:p>
    <w:p w14:paraId="35910A6D">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③通过给回扣或变相给回扣的方式招揽业务的；</w:t>
      </w:r>
    </w:p>
    <w:p w14:paraId="39CD11FF">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④因产品质量或服务问题被有效投诉达三次以上的；</w:t>
      </w:r>
    </w:p>
    <w:p w14:paraId="6F3AAD53">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⑤向有关部门、采购单位、最终使用方提供虚假信息或资料等情况的；</w:t>
      </w:r>
    </w:p>
    <w:p w14:paraId="7A7CA65D">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⑥出现重大客户投诉事件（如政府采购管理部门督办事件、新闻媒体公开报道、采购业主书面发函投诉以及其他对采购单位产生严重负面影响的事件）；</w:t>
      </w:r>
    </w:p>
    <w:p w14:paraId="24B92F08">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⑦报修率超过3%。报修率=保修期内产品质量报修有效箱次/已销售箱数*100%（已销售箱数超过100箱之后开始计算报修率）。</w:t>
      </w:r>
    </w:p>
    <w:p w14:paraId="180BB279">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*12、投标人必须在投标文件中提供书面承诺函：</w:t>
      </w:r>
      <w:r>
        <w:rPr>
          <w:rFonts w:hint="eastAsia" w:ascii="宋体" w:hAnsi="宋体" w:cs="宋体"/>
          <w:b/>
          <w:color w:val="auto"/>
          <w:sz w:val="24"/>
          <w:szCs w:val="24"/>
          <w:highlight w:val="none"/>
        </w:rPr>
        <w:t>同意在供货期间，遇合同型号价格下调，或遇纸浆期货的自然月度结算参考价格低于投标当月纸浆月度结算参考价格（xxxx元/吨）的10%，或供货价格未能达到比其它同类销售渠道、主流网站（京东、苏宁易购、国美、天猫）及政府采购网上超市（福建省、深圳市、浙江省、广东省、南京市）等的常规销售价格上的最低价至少低5%的，卖方应及时配合买方确认价格调整，且最终调整后的价格不得高于合同约定的价格（即投标价格）（以上纸浆期货月度结算参考价格参考上海期货交易所数据）</w:t>
      </w:r>
      <w:r>
        <w:rPr>
          <w:rFonts w:hint="eastAsia" w:ascii="宋体" w:hAnsi="宋体" w:cs="宋体"/>
          <w:b/>
          <w:color w:val="auto"/>
          <w:sz w:val="24"/>
          <w:szCs w:val="24"/>
          <w:highlight w:val="none"/>
        </w:rPr>
        <w:t>。</w:t>
      </w:r>
    </w:p>
    <w:p w14:paraId="51DC3DC1">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*13、投标人必须在投标文件中提供书面承诺函：若</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将无条件参与采购单位举办的壹年两次的政府大宗产品推介会，并且免费提供相应的中标产品作为样品展示，否则视为违约，投标人应按</w:t>
      </w:r>
      <w:r>
        <w:rPr>
          <w:rFonts w:hint="eastAsia" w:ascii="宋体" w:hAnsi="宋体" w:cs="宋体"/>
          <w:b/>
          <w:bCs/>
          <w:color w:val="auto"/>
          <w:sz w:val="24"/>
          <w:szCs w:val="24"/>
          <w:highlight w:val="none"/>
        </w:rPr>
        <w:t>中标</w:t>
      </w:r>
      <w:r>
        <w:rPr>
          <w:rFonts w:hint="eastAsia" w:ascii="宋体" w:hAnsi="宋体" w:cs="宋体"/>
          <w:b/>
          <w:color w:val="auto"/>
          <w:sz w:val="24"/>
          <w:szCs w:val="24"/>
          <w:highlight w:val="none"/>
        </w:rPr>
        <w:t>产品的中标单价向采购单位支付违约金，若投标人未向采购单位支付，则采购单位有权直接从履约保证金款项中直接给予扣除。</w:t>
      </w:r>
    </w:p>
    <w:p w14:paraId="3000902E">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14、投标人必须在投标文件中提供书面承诺函：如果中标，验收时（包括初验和最终验收），投标人必须派代表参加并确认验收结果，否则视为投标人对验收意见无异议。如该批次产品在最终验收时，出现开箱破损或者故障，无法进行最终验收的，投标人承诺无条件给予更换并保证最终验收的顺畅进行。若投标人不同意更换或者配合，采购单位有权直接于中标供应商的履约保证金中扣除该批次产品及安装的等额费用。该条款可能造成的成本费用包含在投标人的产品报价中。</w:t>
      </w:r>
    </w:p>
    <w:p w14:paraId="7A5BA6ED">
      <w:pPr>
        <w:spacing w:line="360" w:lineRule="auto"/>
        <w:ind w:firstLine="482" w:firstLineChars="200"/>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15、投标人必须在投标文件中提供书面承诺函：如果中标，因投标人产品给采购单位造成的客诉，若投标人在接到采购单位通知后3个日历日内无法解决客诉，采购单位有权自行解决客诉，并直接于投标人的履约保证金中扣除解决客诉所产生的费用。该条款可能造成的成本费用包含在投标人的产品报价中。</w:t>
      </w:r>
    </w:p>
    <w:p w14:paraId="7CB253BF">
      <w:pPr>
        <w:pStyle w:val="20"/>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*16、投标人必须在投标文件中提供书面承诺函：</w:t>
      </w:r>
      <w:r>
        <w:rPr>
          <w:rFonts w:hint="eastAsia" w:ascii="宋体" w:hAnsi="宋体" w:cs="宋体"/>
          <w:b/>
          <w:color w:val="auto"/>
          <w:kern w:val="2"/>
          <w:sz w:val="24"/>
          <w:szCs w:val="24"/>
          <w:highlight w:val="none"/>
        </w:rPr>
        <w:t>若中标，将确保任何产品型号在供货期内能够满足采购单位的需求；若在供货期内投标人有任何产品型号或配件升级变更或者停产，应至少提前一个月书面通知采购单位相关信息（包括其升级产品型号、部件及详细配置方案），经采购单位书面同意后方可按升级后的产品（或配件）供货，价格按中标单价执行，交货时间按原投标承诺的时间执行，同时，在采购单位同意之前，</w:t>
      </w:r>
      <w:r>
        <w:rPr>
          <w:rFonts w:hint="eastAsia" w:ascii="宋体" w:hAnsi="宋体" w:cs="宋体"/>
          <w:b/>
          <w:color w:val="auto"/>
          <w:sz w:val="24"/>
          <w:szCs w:val="24"/>
          <w:highlight w:val="none"/>
        </w:rPr>
        <w:t>投标人</w:t>
      </w:r>
      <w:r>
        <w:rPr>
          <w:rFonts w:hint="eastAsia" w:ascii="宋体" w:hAnsi="宋体" w:cs="宋体"/>
          <w:b/>
          <w:color w:val="auto"/>
          <w:kern w:val="2"/>
          <w:sz w:val="24"/>
          <w:szCs w:val="24"/>
          <w:highlight w:val="none"/>
        </w:rPr>
        <w:t>仍应按原承诺《定货单》的要求供货。否则，按逾期交货处理。若在合同期内投标人有任何产品型号或配件停产且无法提供符合采购单位要求的升级型号或配件则视为严重违约，投标人应按每款型号20000元向采购单位缴纳违约金。采购单位有权单方面解除中标合同，直接没收履约保证金并且有权与</w:t>
      </w:r>
      <w:r>
        <w:rPr>
          <w:rFonts w:hint="eastAsia" w:ascii="宋体" w:hAnsi="宋体" w:cs="宋体"/>
          <w:b/>
          <w:color w:val="auto"/>
          <w:sz w:val="24"/>
          <w:szCs w:val="24"/>
          <w:highlight w:val="none"/>
        </w:rPr>
        <w:t>投标人</w:t>
      </w:r>
      <w:r>
        <w:rPr>
          <w:rFonts w:hint="eastAsia" w:ascii="宋体" w:hAnsi="宋体" w:cs="宋体"/>
          <w:b/>
          <w:color w:val="auto"/>
          <w:kern w:val="2"/>
          <w:sz w:val="24"/>
          <w:szCs w:val="24"/>
          <w:highlight w:val="none"/>
        </w:rPr>
        <w:t>之后第一位的中标候选供应商签订合同。</w:t>
      </w:r>
    </w:p>
    <w:p w14:paraId="32E318F6">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17、投标人必须在投标文件中提供书面承诺函：承诺在7月-9月，11月-12月几个教育系统用户领用高峰期，将提前做好库存，在高峰期出现供货不及时的情况将双倍考核；情节严重（订单供货及时率低于90%，客户原因除外）直接扣除保证金。（注：订单供货及时率=按期供货订单数/总订单数*100%）</w:t>
      </w:r>
    </w:p>
    <w:p w14:paraId="19C7D007">
      <w:pPr>
        <w:spacing w:line="360" w:lineRule="auto"/>
        <w:ind w:firstLine="482"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18、投标人必须在投标文件中提供书面承诺函：承诺同意本项目采购的产品按照销售对象及销售区域的不同而分别与采购单位签订合同，即签订一份适用于厦门市政府机关事业单位、一份适用于福建省内其他终端用户采购合同。两份合同的总数量和总金额为本次招标采购的总数量和总金额。</w:t>
      </w:r>
    </w:p>
    <w:p w14:paraId="053F420F">
      <w:pPr>
        <w:rPr>
          <w:rFonts w:hint="eastAsia" w:ascii="宋体" w:hAnsi="宋体" w:cs="宋体"/>
          <w:color w:val="auto"/>
          <w:sz w:val="24"/>
          <w:szCs w:val="24"/>
          <w:highlight w:val="none"/>
        </w:rPr>
      </w:pPr>
    </w:p>
    <w:p w14:paraId="639B2471">
      <w:pPr>
        <w:spacing w:line="360" w:lineRule="auto"/>
        <w:rPr>
          <w:rFonts w:hint="eastAsia" w:ascii="宋体" w:hAnsi="宋体"/>
          <w:b/>
          <w:color w:val="auto"/>
          <w:sz w:val="24"/>
          <w:szCs w:val="24"/>
          <w:highlight w:val="none"/>
        </w:rPr>
      </w:pPr>
      <w:r>
        <w:rPr>
          <w:rFonts w:hint="eastAsia" w:ascii="宋体" w:hAnsi="宋体"/>
          <w:b/>
          <w:color w:val="auto"/>
          <w:sz w:val="24"/>
          <w:szCs w:val="24"/>
          <w:highlight w:val="none"/>
        </w:rPr>
        <w:t>附件：关联关系证明</w:t>
      </w:r>
    </w:p>
    <w:p w14:paraId="0F8216D9">
      <w:pPr>
        <w:spacing w:line="360" w:lineRule="auto"/>
        <w:ind w:firstLine="482" w:firstLineChars="200"/>
        <w:jc w:val="center"/>
        <w:rPr>
          <w:rFonts w:hint="eastAsia" w:ascii="宋体" w:hAnsi="宋体"/>
          <w:b/>
          <w:color w:val="auto"/>
          <w:sz w:val="24"/>
          <w:szCs w:val="24"/>
          <w:highlight w:val="none"/>
        </w:rPr>
      </w:pPr>
      <w:r>
        <w:rPr>
          <w:rFonts w:hint="eastAsia" w:ascii="宋体" w:hAnsi="宋体"/>
          <w:b/>
          <w:color w:val="auto"/>
          <w:sz w:val="24"/>
          <w:szCs w:val="24"/>
          <w:highlight w:val="none"/>
        </w:rPr>
        <w:t>关联企业证明</w:t>
      </w:r>
    </w:p>
    <w:p w14:paraId="0295D218">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致：</w:t>
      </w:r>
      <w:r>
        <w:rPr>
          <w:rFonts w:hint="eastAsia" w:ascii="宋体" w:hAnsi="宋体"/>
          <w:b/>
          <w:color w:val="auto"/>
          <w:sz w:val="24"/>
          <w:szCs w:val="24"/>
          <w:highlight w:val="none"/>
          <w:u w:val="single"/>
        </w:rPr>
        <w:t>（招标代理机构）</w:t>
      </w:r>
    </w:p>
    <w:p w14:paraId="52C2C773">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u w:val="single"/>
        </w:rPr>
        <w:t>（制造商或制造商关联企业名称）</w:t>
      </w:r>
      <w:r>
        <w:rPr>
          <w:rFonts w:hint="eastAsia" w:ascii="宋体" w:hAnsi="宋体"/>
          <w:b/>
          <w:color w:val="auto"/>
          <w:sz w:val="24"/>
          <w:szCs w:val="24"/>
          <w:highlight w:val="none"/>
        </w:rPr>
        <w:t>现在此声明，根据本项目招标文件的要求</w:t>
      </w:r>
      <w:r>
        <w:rPr>
          <w:rFonts w:hint="eastAsia" w:ascii="宋体" w:hAnsi="宋体"/>
          <w:b/>
          <w:color w:val="auto"/>
          <w:sz w:val="24"/>
          <w:szCs w:val="24"/>
          <w:highlight w:val="none"/>
          <w:u w:val="single"/>
        </w:rPr>
        <w:t>（制造商关联企业名称）是（制造商名称）</w:t>
      </w:r>
      <w:r>
        <w:rPr>
          <w:rFonts w:hint="eastAsia" w:ascii="宋体" w:hAnsi="宋体"/>
          <w:b/>
          <w:color w:val="auto"/>
          <w:sz w:val="24"/>
          <w:szCs w:val="24"/>
          <w:highlight w:val="none"/>
        </w:rPr>
        <w:t>的关联企业，</w:t>
      </w:r>
    </w:p>
    <w:p w14:paraId="1BB712F0">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特此证明。</w:t>
      </w:r>
    </w:p>
    <w:p w14:paraId="0169A12E">
      <w:pPr>
        <w:spacing w:line="360" w:lineRule="auto"/>
        <w:ind w:firstLine="482" w:firstLineChars="200"/>
        <w:rPr>
          <w:rFonts w:hint="eastAsia" w:ascii="宋体" w:hAnsi="宋体"/>
          <w:b/>
          <w:color w:val="auto"/>
          <w:sz w:val="24"/>
          <w:szCs w:val="24"/>
          <w:highlight w:val="none"/>
        </w:rPr>
      </w:pPr>
    </w:p>
    <w:p w14:paraId="344DA690">
      <w:pPr>
        <w:spacing w:line="360" w:lineRule="auto"/>
        <w:ind w:firstLine="482" w:firstLineChars="200"/>
        <w:rPr>
          <w:rFonts w:hint="eastAsia" w:ascii="宋体" w:hAnsi="宋体"/>
          <w:b/>
          <w:color w:val="auto"/>
          <w:sz w:val="24"/>
          <w:szCs w:val="24"/>
          <w:highlight w:val="none"/>
          <w:u w:val="single"/>
        </w:rPr>
      </w:pPr>
      <w:r>
        <w:rPr>
          <w:rFonts w:hint="eastAsia" w:ascii="宋体" w:hAnsi="宋体"/>
          <w:b/>
          <w:color w:val="auto"/>
          <w:sz w:val="24"/>
          <w:szCs w:val="24"/>
          <w:highlight w:val="none"/>
        </w:rPr>
        <w:t>制造商或制造商关联企业名称</w:t>
      </w:r>
      <w:r>
        <w:rPr>
          <w:rFonts w:hint="eastAsia" w:ascii="宋体" w:hAnsi="宋体"/>
          <w:b/>
          <w:color w:val="auto"/>
          <w:sz w:val="24"/>
          <w:szCs w:val="24"/>
          <w:highlight w:val="none"/>
          <w:u w:val="single"/>
        </w:rPr>
        <w:t>：</w:t>
      </w:r>
    </w:p>
    <w:p w14:paraId="3C40415F">
      <w:pPr>
        <w:spacing w:line="360" w:lineRule="auto"/>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（盖章）日期：</w:t>
      </w:r>
    </w:p>
    <w:p w14:paraId="396E25BA">
      <w:pPr>
        <w:tabs>
          <w:tab w:val="left" w:pos="5130"/>
        </w:tabs>
        <w:spacing w:line="360" w:lineRule="auto"/>
        <w:ind w:firstLine="480" w:firstLineChars="200"/>
        <w:rPr>
          <w:rFonts w:hint="eastAsia" w:ascii="宋体" w:hAnsi="宋体" w:cs="宋体"/>
          <w:color w:val="auto"/>
          <w:sz w:val="24"/>
          <w:szCs w:val="24"/>
          <w:highlight w:val="none"/>
        </w:rPr>
      </w:pPr>
    </w:p>
    <w:p w14:paraId="7DB37A1E">
      <w:pPr>
        <w:tabs>
          <w:tab w:val="left" w:pos="5130"/>
        </w:tabs>
        <w:spacing w:line="360" w:lineRule="auto"/>
        <w:ind w:firstLine="480" w:firstLineChars="200"/>
        <w:rPr>
          <w:rFonts w:hint="eastAsia" w:ascii="宋体" w:hAnsi="宋体" w:cs="宋体"/>
          <w:color w:val="auto"/>
          <w:sz w:val="24"/>
          <w:szCs w:val="24"/>
          <w:highlight w:val="none"/>
        </w:rPr>
      </w:pPr>
    </w:p>
    <w:p w14:paraId="6F922A8E">
      <w:pPr>
        <w:tabs>
          <w:tab w:val="left" w:pos="5130"/>
        </w:tabs>
        <w:spacing w:line="360" w:lineRule="auto"/>
        <w:ind w:firstLine="480" w:firstLineChars="200"/>
        <w:rPr>
          <w:rFonts w:hint="eastAsia" w:ascii="宋体" w:hAnsi="宋体" w:cs="宋体"/>
          <w:color w:val="auto"/>
          <w:sz w:val="24"/>
          <w:szCs w:val="24"/>
          <w:highlight w:val="none"/>
        </w:rPr>
      </w:pPr>
    </w:p>
    <w:p w14:paraId="3D60FE2B">
      <w:pPr>
        <w:tabs>
          <w:tab w:val="left" w:pos="5130"/>
        </w:tabs>
        <w:spacing w:line="360" w:lineRule="auto"/>
        <w:ind w:firstLine="480" w:firstLineChars="200"/>
        <w:rPr>
          <w:rFonts w:hint="eastAsia" w:ascii="宋体" w:hAnsi="宋体" w:cs="宋体"/>
          <w:color w:val="auto"/>
          <w:sz w:val="24"/>
          <w:szCs w:val="24"/>
          <w:highlight w:val="none"/>
        </w:rPr>
      </w:pPr>
    </w:p>
    <w:p w14:paraId="1572C2F3">
      <w:pPr>
        <w:tabs>
          <w:tab w:val="left" w:pos="5130"/>
        </w:tabs>
        <w:spacing w:line="360" w:lineRule="auto"/>
        <w:ind w:firstLine="480" w:firstLineChars="200"/>
        <w:rPr>
          <w:rFonts w:hint="eastAsia" w:ascii="宋体" w:hAnsi="宋体" w:cs="宋体"/>
          <w:color w:val="auto"/>
          <w:sz w:val="24"/>
          <w:szCs w:val="24"/>
          <w:highlight w:val="none"/>
        </w:rPr>
      </w:pPr>
    </w:p>
    <w:p w14:paraId="5B1DD8E8">
      <w:pPr>
        <w:tabs>
          <w:tab w:val="left" w:pos="5130"/>
        </w:tabs>
        <w:spacing w:line="360" w:lineRule="auto"/>
        <w:ind w:firstLine="480" w:firstLineChars="200"/>
        <w:rPr>
          <w:rFonts w:hint="eastAsia" w:ascii="宋体" w:hAnsi="宋体" w:cs="宋体"/>
          <w:color w:val="auto"/>
          <w:sz w:val="24"/>
          <w:szCs w:val="24"/>
          <w:highlight w:val="none"/>
        </w:rPr>
      </w:pPr>
    </w:p>
    <w:p w14:paraId="0F1B6009">
      <w:pPr>
        <w:tabs>
          <w:tab w:val="left" w:pos="5130"/>
        </w:tabs>
        <w:spacing w:line="360" w:lineRule="auto"/>
        <w:ind w:firstLine="480" w:firstLineChars="200"/>
        <w:rPr>
          <w:rFonts w:hint="eastAsia" w:ascii="宋体" w:hAnsi="宋体" w:cs="宋体"/>
          <w:color w:val="auto"/>
          <w:sz w:val="24"/>
          <w:szCs w:val="24"/>
          <w:highlight w:val="none"/>
        </w:rPr>
      </w:pPr>
    </w:p>
    <w:p w14:paraId="0B949A2B">
      <w:pPr>
        <w:tabs>
          <w:tab w:val="left" w:pos="5130"/>
        </w:tabs>
        <w:spacing w:line="360" w:lineRule="auto"/>
        <w:ind w:firstLine="480" w:firstLineChars="200"/>
        <w:rPr>
          <w:rFonts w:hint="eastAsia" w:ascii="宋体" w:hAnsi="宋体" w:cs="宋体"/>
          <w:color w:val="auto"/>
          <w:sz w:val="24"/>
          <w:szCs w:val="24"/>
          <w:highlight w:val="none"/>
        </w:rPr>
      </w:pPr>
    </w:p>
    <w:p w14:paraId="03D5D048">
      <w:pPr>
        <w:tabs>
          <w:tab w:val="left" w:pos="5130"/>
        </w:tabs>
        <w:spacing w:line="360" w:lineRule="auto"/>
        <w:ind w:firstLine="480" w:firstLineChars="200"/>
        <w:rPr>
          <w:rFonts w:hint="eastAsia" w:ascii="宋体" w:hAnsi="宋体" w:cs="宋体"/>
          <w:color w:val="auto"/>
          <w:sz w:val="24"/>
          <w:szCs w:val="24"/>
          <w:highlight w:val="none"/>
        </w:rPr>
      </w:pPr>
    </w:p>
    <w:p w14:paraId="30988F10">
      <w:pPr>
        <w:tabs>
          <w:tab w:val="left" w:pos="5130"/>
        </w:tabs>
        <w:spacing w:line="360" w:lineRule="auto"/>
        <w:ind w:firstLine="480" w:firstLineChars="200"/>
        <w:rPr>
          <w:rFonts w:hint="eastAsia" w:ascii="宋体" w:hAnsi="宋体" w:cs="宋体"/>
          <w:color w:val="auto"/>
          <w:sz w:val="24"/>
          <w:szCs w:val="24"/>
          <w:highlight w:val="none"/>
        </w:rPr>
      </w:pPr>
    </w:p>
    <w:p w14:paraId="599E3E97">
      <w:pPr>
        <w:tabs>
          <w:tab w:val="left" w:pos="5130"/>
        </w:tabs>
        <w:spacing w:line="360" w:lineRule="auto"/>
        <w:ind w:firstLine="480" w:firstLineChars="200"/>
        <w:rPr>
          <w:rFonts w:hint="eastAsia" w:ascii="宋体" w:hAnsi="宋体" w:cs="宋体"/>
          <w:color w:val="auto"/>
          <w:sz w:val="24"/>
          <w:szCs w:val="24"/>
          <w:highlight w:val="none"/>
        </w:rPr>
      </w:pPr>
    </w:p>
    <w:p w14:paraId="11945249">
      <w:pPr>
        <w:tabs>
          <w:tab w:val="left" w:pos="5130"/>
        </w:tabs>
        <w:spacing w:line="360" w:lineRule="auto"/>
        <w:ind w:firstLine="480" w:firstLineChars="200"/>
        <w:rPr>
          <w:rFonts w:hint="eastAsia" w:ascii="宋体" w:hAnsi="宋体" w:cs="宋体"/>
          <w:color w:val="auto"/>
          <w:sz w:val="24"/>
          <w:szCs w:val="24"/>
          <w:highlight w:val="none"/>
        </w:rPr>
      </w:pPr>
    </w:p>
    <w:p w14:paraId="1781FF25">
      <w:pPr>
        <w:tabs>
          <w:tab w:val="left" w:pos="5130"/>
        </w:tabs>
        <w:spacing w:line="360" w:lineRule="auto"/>
        <w:ind w:firstLine="480" w:firstLineChars="200"/>
        <w:rPr>
          <w:rFonts w:hint="eastAsia" w:ascii="宋体" w:hAnsi="宋体" w:cs="宋体"/>
          <w:color w:val="auto"/>
          <w:sz w:val="24"/>
          <w:szCs w:val="24"/>
          <w:highlight w:val="none"/>
        </w:rPr>
      </w:pPr>
    </w:p>
    <w:p w14:paraId="5DA9AF47">
      <w:pPr>
        <w:tabs>
          <w:tab w:val="left" w:pos="5130"/>
        </w:tabs>
        <w:spacing w:line="360" w:lineRule="auto"/>
        <w:ind w:firstLine="480" w:firstLineChars="200"/>
        <w:rPr>
          <w:rFonts w:hint="eastAsia" w:ascii="宋体" w:hAnsi="宋体" w:cs="宋体"/>
          <w:color w:val="auto"/>
          <w:sz w:val="24"/>
          <w:szCs w:val="24"/>
          <w:highlight w:val="none"/>
        </w:rPr>
      </w:pPr>
    </w:p>
    <w:p w14:paraId="1533B765">
      <w:pPr>
        <w:tabs>
          <w:tab w:val="left" w:pos="5130"/>
        </w:tabs>
        <w:spacing w:line="360" w:lineRule="auto"/>
        <w:ind w:firstLine="480" w:firstLineChars="200"/>
        <w:rPr>
          <w:rFonts w:hint="eastAsia" w:ascii="宋体" w:hAnsi="宋体" w:cs="宋体"/>
          <w:color w:val="auto"/>
          <w:sz w:val="24"/>
          <w:szCs w:val="24"/>
          <w:highlight w:val="none"/>
        </w:rPr>
      </w:pPr>
    </w:p>
    <w:p w14:paraId="7C524F20">
      <w:pPr>
        <w:tabs>
          <w:tab w:val="left" w:pos="5130"/>
        </w:tabs>
        <w:spacing w:line="360" w:lineRule="auto"/>
        <w:ind w:firstLine="480" w:firstLineChars="200"/>
        <w:rPr>
          <w:rFonts w:hint="eastAsia" w:ascii="宋体" w:hAnsi="宋体" w:cs="宋体"/>
          <w:color w:val="auto"/>
          <w:sz w:val="24"/>
          <w:szCs w:val="24"/>
          <w:highlight w:val="none"/>
        </w:rPr>
      </w:pPr>
    </w:p>
    <w:p w14:paraId="506E65C8">
      <w:pPr>
        <w:tabs>
          <w:tab w:val="left" w:pos="5130"/>
        </w:tabs>
        <w:spacing w:line="360" w:lineRule="auto"/>
        <w:ind w:firstLine="480" w:firstLineChars="200"/>
        <w:rPr>
          <w:rFonts w:hint="eastAsia" w:ascii="宋体" w:hAnsi="宋体" w:cs="宋体"/>
          <w:color w:val="auto"/>
          <w:sz w:val="24"/>
          <w:szCs w:val="24"/>
          <w:highlight w:val="none"/>
        </w:rPr>
      </w:pPr>
    </w:p>
    <w:p w14:paraId="79B8D085">
      <w:pPr>
        <w:tabs>
          <w:tab w:val="left" w:pos="5130"/>
        </w:tabs>
        <w:spacing w:line="360" w:lineRule="auto"/>
        <w:ind w:firstLine="480" w:firstLineChars="200"/>
        <w:rPr>
          <w:rFonts w:hint="eastAsia" w:ascii="宋体" w:hAnsi="宋体" w:cs="宋体"/>
          <w:color w:val="auto"/>
          <w:sz w:val="24"/>
          <w:szCs w:val="24"/>
          <w:highlight w:val="none"/>
        </w:rPr>
      </w:pPr>
    </w:p>
    <w:p w14:paraId="4D7DA91C">
      <w:pPr>
        <w:tabs>
          <w:tab w:val="left" w:pos="5130"/>
        </w:tabs>
        <w:spacing w:line="360" w:lineRule="auto"/>
        <w:ind w:firstLine="0" w:firstLineChars="0"/>
        <w:rPr>
          <w:rFonts w:hint="eastAsia" w:ascii="宋体" w:hAnsi="宋体" w:cs="宋体"/>
          <w:color w:val="auto"/>
          <w:sz w:val="24"/>
          <w:szCs w:val="24"/>
          <w:highlight w:val="none"/>
        </w:rPr>
      </w:pPr>
    </w:p>
    <w:p w14:paraId="763A50EA">
      <w:pPr>
        <w:tabs>
          <w:tab w:val="left" w:pos="5130"/>
        </w:tabs>
        <w:spacing w:line="360" w:lineRule="auto"/>
        <w:ind w:firstLine="480" w:firstLineChars="200"/>
        <w:rPr>
          <w:rFonts w:hint="eastAsia" w:ascii="宋体" w:hAnsi="宋体" w:cs="宋体"/>
          <w:color w:val="auto"/>
          <w:sz w:val="24"/>
          <w:szCs w:val="24"/>
          <w:highlight w:val="none"/>
        </w:rPr>
      </w:pPr>
    </w:p>
    <w:p w14:paraId="030EACAD">
      <w:pPr>
        <w:spacing w:line="360" w:lineRule="auto"/>
        <w:rPr>
          <w:rFonts w:hint="eastAsia" w:ascii="宋体" w:hAnsi="宋体" w:cs="宋体"/>
          <w:color w:val="auto"/>
          <w:sz w:val="24"/>
          <w:szCs w:val="24"/>
          <w:highlight w:val="none"/>
        </w:rPr>
      </w:pPr>
    </w:p>
    <w:p w14:paraId="4BC29CEC">
      <w:pPr>
        <w:spacing w:line="360" w:lineRule="auto"/>
        <w:rPr>
          <w:rFonts w:hint="eastAsia" w:ascii="宋体" w:hAnsi="宋体" w:cs="宋体"/>
          <w:color w:val="auto"/>
          <w:sz w:val="24"/>
          <w:szCs w:val="24"/>
          <w:highlight w:val="none"/>
        </w:rPr>
      </w:pPr>
    </w:p>
    <w:p w14:paraId="0C42EB80">
      <w:pPr>
        <w:spacing w:line="360" w:lineRule="auto"/>
        <w:jc w:val="center"/>
        <w:rPr>
          <w:rFonts w:hint="eastAsia" w:ascii="宋体" w:hAnsi="宋体" w:cs="宋体"/>
          <w:b/>
          <w:bCs/>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386D3084">
      <w:pPr>
        <w:numPr>
          <w:ilvl w:val="255"/>
          <w:numId w:val="0"/>
        </w:numPr>
        <w:spacing w:line="360" w:lineRule="auto"/>
        <w:ind w:firstLine="1285" w:firstLineChars="400"/>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w:t>
      </w:r>
      <w:bookmarkStart w:id="0" w:name="OLE_LINK266"/>
      <w:bookmarkStart w:id="1" w:name="OLE_LINK265"/>
      <w:r>
        <w:rPr>
          <w:rFonts w:hint="eastAsia" w:ascii="宋体" w:hAnsi="宋体" w:cs="宋体"/>
          <w:b/>
          <w:color w:val="auto"/>
          <w:sz w:val="32"/>
          <w:szCs w:val="32"/>
          <w:highlight w:val="none"/>
        </w:rPr>
        <w:t xml:space="preserve">  政府采购货物买卖合同（试行）</w:t>
      </w:r>
      <w:bookmarkEnd w:id="0"/>
      <w:bookmarkEnd w:id="1"/>
    </w:p>
    <w:p w14:paraId="10F491BF">
      <w:pPr>
        <w:numPr>
          <w:ilvl w:val="255"/>
          <w:numId w:val="0"/>
        </w:numPr>
        <w:spacing w:line="360" w:lineRule="auto"/>
        <w:rPr>
          <w:rFonts w:hint="eastAsia" w:ascii="宋体" w:hAnsi="宋体" w:cs="宋体"/>
          <w:b/>
          <w:color w:val="auto"/>
          <w:sz w:val="32"/>
          <w:szCs w:val="32"/>
          <w:highlight w:val="none"/>
        </w:rPr>
      </w:pPr>
    </w:p>
    <w:p w14:paraId="1CCCBE72">
      <w:pPr>
        <w:spacing w:line="360" w:lineRule="auto"/>
        <w:jc w:val="center"/>
        <w:rPr>
          <w:rFonts w:hint="eastAsia" w:ascii="宋体" w:hAnsi="宋体" w:cs="宋体"/>
          <w:b/>
          <w:bCs/>
          <w:color w:val="auto"/>
          <w:spacing w:val="-20"/>
          <w:kern w:val="44"/>
          <w:sz w:val="48"/>
          <w:szCs w:val="48"/>
          <w:highlight w:val="none"/>
        </w:rPr>
      </w:pPr>
      <w:r>
        <w:rPr>
          <w:rFonts w:hint="eastAsia" w:ascii="宋体" w:hAnsi="宋体" w:cs="宋体"/>
          <w:b/>
          <w:bCs/>
          <w:color w:val="auto"/>
          <w:spacing w:val="-20"/>
          <w:kern w:val="44"/>
          <w:sz w:val="48"/>
          <w:szCs w:val="48"/>
          <w:highlight w:val="none"/>
        </w:rPr>
        <w:t>政府采购货物买卖合同</w:t>
      </w:r>
    </w:p>
    <w:p w14:paraId="37323DB2">
      <w:pPr>
        <w:spacing w:line="360" w:lineRule="auto"/>
        <w:jc w:val="center"/>
        <w:rPr>
          <w:rFonts w:hint="eastAsia" w:ascii="宋体" w:hAnsi="宋体" w:cs="宋体"/>
          <w:b/>
          <w:bCs/>
          <w:color w:val="auto"/>
          <w:spacing w:val="-20"/>
          <w:kern w:val="44"/>
          <w:sz w:val="48"/>
          <w:szCs w:val="48"/>
          <w:highlight w:val="none"/>
        </w:rPr>
      </w:pPr>
      <w:r>
        <w:rPr>
          <w:rFonts w:hint="eastAsia" w:ascii="宋体" w:hAnsi="宋体" w:cs="宋体"/>
          <w:b/>
          <w:bCs/>
          <w:color w:val="auto"/>
          <w:spacing w:val="-20"/>
          <w:kern w:val="44"/>
          <w:sz w:val="48"/>
          <w:szCs w:val="48"/>
          <w:highlight w:val="none"/>
        </w:rPr>
        <w:t>（试行）</w:t>
      </w:r>
    </w:p>
    <w:p w14:paraId="51D1FE25">
      <w:pPr>
        <w:spacing w:line="360" w:lineRule="auto"/>
        <w:rPr>
          <w:rFonts w:hint="eastAsia" w:ascii="宋体" w:hAnsi="宋体" w:cs="宋体"/>
          <w:b/>
          <w:bCs/>
          <w:color w:val="auto"/>
          <w:spacing w:val="-20"/>
          <w:kern w:val="44"/>
          <w:sz w:val="40"/>
          <w:szCs w:val="40"/>
          <w:highlight w:val="none"/>
        </w:rPr>
      </w:pPr>
    </w:p>
    <w:p w14:paraId="5230C0FB">
      <w:pPr>
        <w:spacing w:line="360" w:lineRule="auto"/>
        <w:rPr>
          <w:rFonts w:hint="eastAsia" w:ascii="宋体" w:hAnsi="宋体" w:cs="宋体"/>
          <w:b/>
          <w:bCs/>
          <w:color w:val="auto"/>
          <w:spacing w:val="-20"/>
          <w:kern w:val="44"/>
          <w:sz w:val="40"/>
          <w:szCs w:val="40"/>
          <w:highlight w:val="none"/>
        </w:rPr>
      </w:pPr>
    </w:p>
    <w:p w14:paraId="4E74E440">
      <w:pPr>
        <w:spacing w:line="360" w:lineRule="auto"/>
        <w:rPr>
          <w:rFonts w:hint="eastAsia" w:ascii="宋体" w:hAnsi="宋体" w:cs="宋体"/>
          <w:b/>
          <w:bCs/>
          <w:color w:val="auto"/>
          <w:spacing w:val="-20"/>
          <w:kern w:val="44"/>
          <w:sz w:val="40"/>
          <w:szCs w:val="40"/>
          <w:highlight w:val="none"/>
        </w:rPr>
      </w:pPr>
    </w:p>
    <w:p w14:paraId="0DF78FB4">
      <w:pPr>
        <w:spacing w:line="360" w:lineRule="auto"/>
        <w:jc w:val="center"/>
        <w:rPr>
          <w:rFonts w:hint="eastAsia" w:ascii="宋体" w:hAnsi="宋体"/>
          <w:b/>
          <w:bCs/>
          <w:color w:val="auto"/>
          <w:sz w:val="32"/>
          <w:szCs w:val="32"/>
          <w:highlight w:val="none"/>
        </w:rPr>
      </w:pPr>
      <w:r>
        <w:rPr>
          <w:rFonts w:hint="eastAsia" w:ascii="宋体" w:hAnsi="宋体" w:cs="宋体"/>
          <w:color w:val="auto"/>
          <w:kern w:val="0"/>
          <w:sz w:val="32"/>
          <w:szCs w:val="32"/>
          <w:highlight w:val="none"/>
        </w:rPr>
        <w:t>项目名称：</w:t>
      </w:r>
      <w:r>
        <w:rPr>
          <w:rFonts w:hint="eastAsia" w:ascii="宋体" w:hAnsi="宋体"/>
          <w:b/>
          <w:bCs/>
          <w:color w:val="auto"/>
          <w:sz w:val="32"/>
          <w:szCs w:val="32"/>
          <w:highlight w:val="none"/>
        </w:rPr>
        <w:t>大宗复印纸采购</w:t>
      </w:r>
    </w:p>
    <w:p w14:paraId="7179D7CF">
      <w:pPr>
        <w:spacing w:line="360" w:lineRule="auto"/>
        <w:ind w:left="420" w:leftChars="200"/>
        <w:rPr>
          <w:rFonts w:ascii="Calibri" w:hAnsi="Calibri"/>
          <w:color w:val="auto"/>
          <w:sz w:val="32"/>
          <w:szCs w:val="32"/>
          <w:highlight w:val="none"/>
        </w:rPr>
      </w:pPr>
    </w:p>
    <w:p w14:paraId="1A0A48D9">
      <w:pPr>
        <w:spacing w:line="360" w:lineRule="auto"/>
        <w:ind w:left="420" w:leftChars="200"/>
        <w:rPr>
          <w:rFonts w:ascii="Calibri" w:hAnsi="Calibri"/>
          <w:color w:val="auto"/>
          <w:sz w:val="32"/>
          <w:szCs w:val="32"/>
          <w:highlight w:val="none"/>
          <w:u w:val="single"/>
        </w:rPr>
      </w:pPr>
      <w:r>
        <w:rPr>
          <w:rFonts w:hint="eastAsia" w:ascii="Calibri" w:hAnsi="Calibri"/>
          <w:color w:val="auto"/>
          <w:sz w:val="32"/>
          <w:szCs w:val="32"/>
          <w:highlight w:val="none"/>
        </w:rPr>
        <w:t>合同编号：</w:t>
      </w:r>
      <w:r>
        <w:rPr>
          <w:rFonts w:ascii="Calibri" w:hAnsi="Calibri"/>
          <w:color w:val="auto"/>
          <w:sz w:val="32"/>
          <w:szCs w:val="32"/>
          <w:highlight w:val="none"/>
          <w:u w:val="single"/>
        </w:rPr>
        <w:t>XM</w:t>
      </w:r>
      <w:r>
        <w:rPr>
          <w:rFonts w:hint="eastAsia" w:ascii="Calibri" w:hAnsi="Calibri"/>
          <w:color w:val="auto"/>
          <w:sz w:val="32"/>
          <w:szCs w:val="32"/>
          <w:highlight w:val="none"/>
          <w:u w:val="single"/>
        </w:rPr>
        <w:t>2026</w:t>
      </w:r>
      <w:r>
        <w:rPr>
          <w:rFonts w:ascii="Calibri" w:hAnsi="Calibri"/>
          <w:color w:val="auto"/>
          <w:sz w:val="32"/>
          <w:szCs w:val="32"/>
          <w:highlight w:val="none"/>
          <w:u w:val="single"/>
        </w:rPr>
        <w:t>-DZ0</w:t>
      </w:r>
      <w:r>
        <w:rPr>
          <w:rFonts w:hint="eastAsia" w:ascii="Calibri" w:hAnsi="Calibri"/>
          <w:color w:val="auto"/>
          <w:sz w:val="32"/>
          <w:szCs w:val="32"/>
          <w:highlight w:val="none"/>
          <w:u w:val="single"/>
        </w:rPr>
        <w:t>019</w:t>
      </w:r>
    </w:p>
    <w:p w14:paraId="32850028">
      <w:pPr>
        <w:spacing w:line="360" w:lineRule="auto"/>
        <w:ind w:left="420" w:leftChars="200"/>
        <w:rPr>
          <w:rFonts w:ascii="Calibri" w:hAnsi="Calibri"/>
          <w:color w:val="auto"/>
          <w:sz w:val="32"/>
          <w:szCs w:val="32"/>
          <w:highlight w:val="none"/>
        </w:rPr>
      </w:pPr>
      <w:r>
        <w:rPr>
          <w:rFonts w:hint="eastAsia" w:ascii="Calibri" w:hAnsi="Calibri"/>
          <w:color w:val="auto"/>
          <w:sz w:val="32"/>
          <w:szCs w:val="32"/>
          <w:highlight w:val="none"/>
        </w:rPr>
        <w:t>甲方：</w:t>
      </w:r>
      <w:r>
        <w:rPr>
          <w:rFonts w:hint="eastAsia" w:ascii="Calibri" w:hAnsi="Calibri"/>
          <w:color w:val="auto"/>
          <w:sz w:val="32"/>
          <w:szCs w:val="32"/>
          <w:highlight w:val="none"/>
          <w:u w:val="single"/>
        </w:rPr>
        <w:t>厦门万翔网络商务有限公司</w:t>
      </w:r>
    </w:p>
    <w:p w14:paraId="44C64B6B">
      <w:pPr>
        <w:spacing w:line="360" w:lineRule="auto"/>
        <w:ind w:left="420" w:leftChars="200"/>
        <w:rPr>
          <w:rFonts w:ascii="Calibri" w:hAnsi="Calibri"/>
          <w:color w:val="auto"/>
          <w:sz w:val="32"/>
          <w:szCs w:val="32"/>
          <w:highlight w:val="none"/>
          <w:u w:val="single"/>
        </w:rPr>
      </w:pPr>
      <w:r>
        <w:rPr>
          <w:rFonts w:hint="eastAsia" w:ascii="Calibri" w:hAnsi="Calibri"/>
          <w:color w:val="auto"/>
          <w:sz w:val="32"/>
          <w:szCs w:val="32"/>
          <w:highlight w:val="none"/>
        </w:rPr>
        <w:t>乙方：</w:t>
      </w:r>
    </w:p>
    <w:p w14:paraId="414514D4">
      <w:pPr>
        <w:spacing w:line="360" w:lineRule="auto"/>
        <w:ind w:left="420" w:leftChars="200"/>
        <w:rPr>
          <w:rFonts w:ascii="Calibri" w:hAnsi="Calibri"/>
          <w:color w:val="auto"/>
          <w:sz w:val="32"/>
          <w:szCs w:val="32"/>
          <w:highlight w:val="none"/>
        </w:rPr>
      </w:pPr>
      <w:r>
        <w:rPr>
          <w:rFonts w:hint="eastAsia" w:ascii="Calibri" w:hAnsi="Calibri"/>
          <w:color w:val="auto"/>
          <w:sz w:val="32"/>
          <w:szCs w:val="32"/>
          <w:highlight w:val="none"/>
        </w:rPr>
        <w:t>签订时间：</w:t>
      </w:r>
    </w:p>
    <w:p w14:paraId="14839009">
      <w:pPr>
        <w:spacing w:line="360" w:lineRule="auto"/>
        <w:rPr>
          <w:rFonts w:ascii="Calibri" w:hAnsi="Calibri"/>
          <w:color w:val="auto"/>
          <w:szCs w:val="20"/>
          <w:highlight w:val="none"/>
        </w:rPr>
      </w:pPr>
    </w:p>
    <w:p w14:paraId="10118A5E">
      <w:pPr>
        <w:spacing w:line="360" w:lineRule="auto"/>
        <w:rPr>
          <w:rFonts w:ascii="Calibri" w:hAnsi="Calibri" w:eastAsia="黑体"/>
          <w:color w:val="auto"/>
          <w:sz w:val="44"/>
          <w:szCs w:val="44"/>
          <w:highlight w:val="none"/>
        </w:rPr>
      </w:pPr>
    </w:p>
    <w:p w14:paraId="1F0679EA">
      <w:pPr>
        <w:spacing w:line="360" w:lineRule="auto"/>
        <w:ind w:firstLine="880" w:firstLineChars="200"/>
        <w:rPr>
          <w:rFonts w:eastAsia="黑体"/>
          <w:color w:val="auto"/>
          <w:sz w:val="44"/>
          <w:szCs w:val="44"/>
          <w:highlight w:val="none"/>
        </w:rPr>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pPr>
    </w:p>
    <w:p w14:paraId="6D940BA2">
      <w:pPr>
        <w:adjustRightInd w:val="0"/>
        <w:snapToGrid w:val="0"/>
        <w:spacing w:before="0" w:after="0" w:line="360" w:lineRule="auto"/>
        <w:jc w:val="center"/>
        <w:rPr>
          <w:rFonts w:hint="eastAsia" w:ascii="黑体" w:hAnsi="黑体"/>
          <w:color w:val="auto"/>
          <w:sz w:val="28"/>
          <w:szCs w:val="28"/>
          <w:highlight w:val="none"/>
        </w:rPr>
      </w:pPr>
      <w:bookmarkStart w:id="2" w:name="_Toc22209"/>
    </w:p>
    <w:p w14:paraId="324E4716">
      <w:pPr>
        <w:pStyle w:val="2"/>
        <w:adjustRightInd w:val="0"/>
        <w:snapToGrid w:val="0"/>
        <w:spacing w:before="0" w:after="0" w:line="360" w:lineRule="auto"/>
        <w:jc w:val="center"/>
        <w:rPr>
          <w:rFonts w:hint="eastAsia" w:ascii="黑体" w:hAnsi="华文中宋"/>
          <w:b w:val="0"/>
          <w:bCs w:val="0"/>
          <w:color w:val="auto"/>
          <w:sz w:val="28"/>
          <w:szCs w:val="28"/>
          <w:highlight w:val="none"/>
        </w:rPr>
      </w:pPr>
      <w:r>
        <w:rPr>
          <w:rFonts w:hint="eastAsia" w:ascii="黑体" w:hAnsi="黑体"/>
          <w:b w:val="0"/>
          <w:bCs w:val="0"/>
          <w:color w:val="auto"/>
          <w:sz w:val="28"/>
          <w:szCs w:val="28"/>
          <w:highlight w:val="none"/>
        </w:rPr>
        <w:t xml:space="preserve">第一节 </w:t>
      </w:r>
      <w:r>
        <w:rPr>
          <w:rFonts w:hint="eastAsia" w:ascii="黑体" w:hAnsi="华文中宋"/>
          <w:b w:val="0"/>
          <w:bCs w:val="0"/>
          <w:color w:val="auto"/>
          <w:sz w:val="28"/>
          <w:szCs w:val="28"/>
          <w:highlight w:val="none"/>
        </w:rPr>
        <w:t>政府采购合同协议书</w:t>
      </w:r>
      <w:bookmarkEnd w:id="2"/>
    </w:p>
    <w:p w14:paraId="3E30C529">
      <w:pPr>
        <w:adjustRightInd w:val="0"/>
        <w:snapToGrid w:val="0"/>
        <w:spacing w:before="0" w:after="0" w:line="360" w:lineRule="auto"/>
        <w:jc w:val="center"/>
        <w:rPr>
          <w:rFonts w:hint="eastAsia" w:ascii="黑体" w:hAnsi="华文中宋"/>
          <w:b/>
          <w:bCs/>
          <w:color w:val="auto"/>
          <w:sz w:val="28"/>
          <w:szCs w:val="28"/>
          <w:highlight w:val="none"/>
        </w:rPr>
      </w:pPr>
    </w:p>
    <w:p w14:paraId="1BE2F451">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甲方（全称）：</w:t>
      </w:r>
      <w:r>
        <w:rPr>
          <w:rFonts w:hint="eastAsia" w:ascii="宋体" w:hAnsi="宋体"/>
          <w:color w:val="auto"/>
          <w:szCs w:val="21"/>
          <w:highlight w:val="none"/>
          <w:u w:val="single"/>
        </w:rPr>
        <w:t>厦门万翔网络商务有限公司</w:t>
      </w:r>
      <w:r>
        <w:rPr>
          <w:rFonts w:hint="eastAsia" w:ascii="宋体" w:hAnsi="宋体"/>
          <w:color w:val="auto"/>
          <w:szCs w:val="21"/>
          <w:highlight w:val="none"/>
        </w:rPr>
        <w:t>（采购人、受采购人委托签订合同的单位或采购</w:t>
      </w:r>
      <w:r>
        <w:rPr>
          <w:rFonts w:hint="eastAsia" w:ascii="宋体" w:hAnsi="宋体"/>
          <w:color w:val="auto"/>
          <w:szCs w:val="21"/>
          <w:highlight w:val="none"/>
        </w:rPr>
        <w:tab/>
      </w:r>
      <w:r>
        <w:rPr>
          <w:rFonts w:hint="eastAsia" w:ascii="宋体" w:hAnsi="宋体"/>
          <w:color w:val="auto"/>
          <w:szCs w:val="21"/>
          <w:highlight w:val="none"/>
        </w:rPr>
        <w:t xml:space="preserve">                                   文件约定的合同甲方）</w:t>
      </w:r>
    </w:p>
    <w:p w14:paraId="2FC9A94D">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乙方1（全称）：（供应商）</w:t>
      </w:r>
    </w:p>
    <w:p w14:paraId="236DAA1D">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乙方2（全称）：（联合体成员供应商或其他合同主体）（如有）</w:t>
      </w:r>
    </w:p>
    <w:p w14:paraId="76592261">
      <w:pPr>
        <w:adjustRightInd w:val="0"/>
        <w:snapToGrid w:val="0"/>
        <w:spacing w:line="360" w:lineRule="auto"/>
        <w:rPr>
          <w:rFonts w:hint="eastAsia" w:ascii="宋体" w:hAnsi="宋体"/>
          <w:color w:val="auto"/>
          <w:szCs w:val="21"/>
          <w:highlight w:val="none"/>
        </w:rPr>
      </w:pPr>
      <w:r>
        <w:rPr>
          <w:rFonts w:hint="eastAsia" w:ascii="Calibri" w:hAnsi="Calibri"/>
          <w:color w:val="auto"/>
          <w:szCs w:val="20"/>
          <w:highlight w:val="none"/>
        </w:rPr>
        <w:t>乙方</w:t>
      </w:r>
      <w:r>
        <w:rPr>
          <w:rFonts w:hint="eastAsia" w:ascii="宋体" w:hAnsi="宋体"/>
          <w:color w:val="auto"/>
          <w:szCs w:val="21"/>
          <w:highlight w:val="none"/>
        </w:rPr>
        <w:t>3</w:t>
      </w:r>
      <w:r>
        <w:rPr>
          <w:rFonts w:hint="eastAsia" w:ascii="Calibri" w:hAnsi="Calibri"/>
          <w:color w:val="auto"/>
          <w:szCs w:val="20"/>
          <w:highlight w:val="none"/>
        </w:rPr>
        <w:t>（全称）</w:t>
      </w:r>
      <w:r>
        <w:rPr>
          <w:rFonts w:hint="eastAsia" w:ascii="宋体" w:hAnsi="宋体"/>
          <w:color w:val="auto"/>
          <w:szCs w:val="21"/>
          <w:highlight w:val="none"/>
        </w:rPr>
        <w:t>（联合体成员供应商或其他合同主体）（如有）</w:t>
      </w:r>
    </w:p>
    <w:p w14:paraId="67387EAE">
      <w:pPr>
        <w:spacing w:line="360" w:lineRule="auto"/>
        <w:rPr>
          <w:rFonts w:ascii="Calibri" w:hAnsi="Calibri"/>
          <w:color w:val="auto"/>
          <w:szCs w:val="20"/>
          <w:highlight w:val="none"/>
        </w:rPr>
      </w:pPr>
    </w:p>
    <w:p w14:paraId="33DF6DA4">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2C5AB7F4">
      <w:pPr>
        <w:numPr>
          <w:ilvl w:val="0"/>
          <w:numId w:val="4"/>
        </w:numPr>
        <w:adjustRightInd w:val="0"/>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项目信息</w:t>
      </w:r>
    </w:p>
    <w:p w14:paraId="26098FD4">
      <w:pPr>
        <w:numPr>
          <w:ilvl w:val="255"/>
          <w:numId w:val="0"/>
        </w:numPr>
        <w:tabs>
          <w:tab w:val="left" w:pos="999"/>
          <w:tab w:val="left" w:pos="6480"/>
        </w:tabs>
        <w:adjustRightInd w:val="0"/>
        <w:snapToGrid w:val="0"/>
        <w:spacing w:line="360" w:lineRule="auto"/>
        <w:ind w:firstLine="630" w:firstLineChars="300"/>
        <w:rPr>
          <w:rFonts w:hint="eastAsia" w:ascii="宋体" w:hAnsi="宋体"/>
          <w:color w:val="auto"/>
          <w:szCs w:val="21"/>
          <w:highlight w:val="none"/>
        </w:rPr>
      </w:pPr>
      <w:r>
        <w:rPr>
          <w:rFonts w:hint="eastAsia" w:ascii="宋体" w:hAnsi="宋体"/>
          <w:color w:val="auto"/>
          <w:szCs w:val="21"/>
          <w:highlight w:val="none"/>
        </w:rPr>
        <w:t>采购项目名称：</w:t>
      </w:r>
      <w:r>
        <w:rPr>
          <w:rFonts w:hint="eastAsia" w:ascii="宋体" w:hAnsi="宋体"/>
          <w:color w:val="auto"/>
          <w:szCs w:val="21"/>
          <w:highlight w:val="none"/>
          <w:u w:val="single"/>
        </w:rPr>
        <w:t>大宗复印纸采购</w:t>
      </w:r>
    </w:p>
    <w:p w14:paraId="33C09BA7">
      <w:pPr>
        <w:numPr>
          <w:ilvl w:val="255"/>
          <w:numId w:val="0"/>
        </w:numPr>
        <w:tabs>
          <w:tab w:val="left" w:pos="999"/>
          <w:tab w:val="left" w:pos="6480"/>
        </w:tabs>
        <w:adjustRightInd w:val="0"/>
        <w:snapToGrid w:val="0"/>
        <w:spacing w:line="360" w:lineRule="auto"/>
        <w:ind w:firstLine="630" w:firstLineChars="300"/>
        <w:rPr>
          <w:rFonts w:hint="eastAsia" w:ascii="宋体" w:hAnsi="宋体"/>
          <w:color w:val="auto"/>
          <w:szCs w:val="21"/>
          <w:highlight w:val="none"/>
        </w:rPr>
      </w:pPr>
      <w:r>
        <w:rPr>
          <w:rFonts w:hint="eastAsia" w:ascii="宋体" w:hAnsi="宋体"/>
          <w:color w:val="auto"/>
          <w:szCs w:val="21"/>
          <w:highlight w:val="none"/>
        </w:rPr>
        <w:t>采购项目编号：</w:t>
      </w:r>
      <w:r>
        <w:rPr>
          <w:rFonts w:ascii="宋体" w:hAnsi="宋体"/>
          <w:color w:val="auto"/>
          <w:sz w:val="21"/>
          <w:szCs w:val="21"/>
          <w:highlight w:val="none"/>
          <w:u w:val="none"/>
        </w:rPr>
        <w:t>XM</w:t>
      </w:r>
      <w:r>
        <w:rPr>
          <w:rFonts w:hint="eastAsia" w:ascii="宋体" w:hAnsi="宋体"/>
          <w:color w:val="auto"/>
          <w:szCs w:val="21"/>
          <w:highlight w:val="none"/>
        </w:rPr>
        <w:t>2026</w:t>
      </w:r>
      <w:r>
        <w:rPr>
          <w:rFonts w:ascii="宋体" w:hAnsi="宋体"/>
          <w:color w:val="auto"/>
          <w:sz w:val="21"/>
          <w:szCs w:val="21"/>
          <w:highlight w:val="none"/>
          <w:u w:val="none"/>
        </w:rPr>
        <w:t>-DZ0</w:t>
      </w:r>
      <w:r>
        <w:rPr>
          <w:rFonts w:hint="eastAsia" w:ascii="宋体" w:hAnsi="宋体"/>
          <w:color w:val="auto"/>
          <w:szCs w:val="21"/>
          <w:highlight w:val="none"/>
        </w:rPr>
        <w:t>019</w:t>
      </w:r>
    </w:p>
    <w:p w14:paraId="14A98E2D">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（2）采购计划编号：</w:t>
      </w:r>
    </w:p>
    <w:p w14:paraId="569B7E85">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（3）项目内容：</w:t>
      </w:r>
    </w:p>
    <w:p w14:paraId="36A28FEF">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     采购标的及数量（台/套</w:t>
      </w:r>
      <w:r>
        <w:rPr>
          <w:rFonts w:ascii="宋体" w:hAnsi="宋体"/>
          <w:color w:val="auto"/>
          <w:szCs w:val="21"/>
          <w:highlight w:val="none"/>
        </w:rPr>
        <w:t>/</w:t>
      </w:r>
      <w:r>
        <w:rPr>
          <w:rFonts w:hint="eastAsia" w:ascii="宋体" w:hAnsi="宋体"/>
          <w:color w:val="auto"/>
          <w:szCs w:val="21"/>
          <w:highlight w:val="none"/>
        </w:rPr>
        <w:t>个</w:t>
      </w:r>
      <w:r>
        <w:rPr>
          <w:rFonts w:ascii="宋体" w:hAnsi="宋体"/>
          <w:color w:val="auto"/>
          <w:szCs w:val="21"/>
          <w:highlight w:val="none"/>
        </w:rPr>
        <w:t>/</w:t>
      </w:r>
      <w:r>
        <w:rPr>
          <w:rFonts w:hint="eastAsia" w:ascii="宋体" w:hAnsi="宋体"/>
          <w:color w:val="auto"/>
          <w:szCs w:val="21"/>
          <w:highlight w:val="none"/>
        </w:rPr>
        <w:t>架</w:t>
      </w:r>
      <w:r>
        <w:rPr>
          <w:rFonts w:ascii="宋体" w:hAnsi="宋体"/>
          <w:color w:val="auto"/>
          <w:szCs w:val="21"/>
          <w:highlight w:val="none"/>
        </w:rPr>
        <w:t>/</w:t>
      </w:r>
      <w:r>
        <w:rPr>
          <w:rFonts w:hint="eastAsia" w:ascii="宋体" w:hAnsi="宋体"/>
          <w:color w:val="auto"/>
          <w:szCs w:val="21"/>
          <w:highlight w:val="none"/>
        </w:rPr>
        <w:t>组等）：</w:t>
      </w:r>
    </w:p>
    <w:p w14:paraId="48F0884A">
      <w:pPr>
        <w:numPr>
          <w:ilvl w:val="255"/>
          <w:numId w:val="0"/>
        </w:num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品牌：规格型号：</w:t>
      </w:r>
    </w:p>
    <w:p w14:paraId="12C9D2F6">
      <w:pPr>
        <w:adjustRightInd w:val="0"/>
        <w:snapToGrid w:val="0"/>
        <w:spacing w:line="360" w:lineRule="auto"/>
        <w:ind w:firstLine="945" w:firstLineChars="450"/>
        <w:rPr>
          <w:rFonts w:hint="eastAsia" w:ascii="宋体" w:hAnsi="宋体"/>
          <w:color w:val="auto"/>
          <w:szCs w:val="21"/>
          <w:highlight w:val="none"/>
          <w:u w:val="single"/>
        </w:rPr>
      </w:pPr>
      <w:r>
        <w:rPr>
          <w:rFonts w:hint="eastAsia" w:ascii="宋体" w:hAnsi="宋体"/>
          <w:color w:val="auto"/>
          <w:szCs w:val="21"/>
          <w:highlight w:val="none"/>
        </w:rPr>
        <w:t>采购标的的技术要求、商务要求具体见附件。</w:t>
      </w:r>
    </w:p>
    <w:p w14:paraId="72B5A2FA">
      <w:pPr>
        <w:numPr>
          <w:ilvl w:val="255"/>
          <w:numId w:val="0"/>
        </w:numPr>
        <w:adjustRightInd w:val="0"/>
        <w:snapToGrid w:val="0"/>
        <w:spacing w:line="360" w:lineRule="auto"/>
        <w:ind w:firstLine="945" w:firstLineChars="450"/>
        <w:rPr>
          <w:rFonts w:hint="eastAsia" w:ascii="宋体" w:hAnsi="宋体" w:cs="宋体"/>
          <w:color w:val="auto"/>
          <w:szCs w:val="21"/>
          <w:highlight w:val="none"/>
        </w:rPr>
      </w:pPr>
      <w:r>
        <w:rPr>
          <w:rFonts w:hint="eastAsia" w:ascii="汉仪书宋二S" w:hAnsi="汉仪书宋二S" w:eastAsia="汉仪书宋二S" w:cs="汉仪书宋二S"/>
          <w:color w:val="auto"/>
          <w:szCs w:val="21"/>
          <w:highlight w:val="none"/>
        </w:rPr>
        <w:t>①</w:t>
      </w:r>
      <w:r>
        <w:rPr>
          <w:rFonts w:hint="eastAsia" w:ascii="宋体" w:hAnsi="宋体" w:cs="宋体"/>
          <w:color w:val="auto"/>
          <w:szCs w:val="21"/>
          <w:highlight w:val="none"/>
        </w:rPr>
        <w:t>涉及信息类产品，请填写该产品关键部件的品牌、型号：</w:t>
      </w:r>
    </w:p>
    <w:p w14:paraId="1BB840EB">
      <w:pPr>
        <w:numPr>
          <w:ilvl w:val="255"/>
          <w:numId w:val="0"/>
        </w:numPr>
        <w:adjustRightInd w:val="0"/>
        <w:snapToGrid w:val="0"/>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szCs w:val="21"/>
          <w:highlight w:val="none"/>
        </w:rPr>
        <w:t xml:space="preserve">     标的名称：</w:t>
      </w:r>
    </w:p>
    <w:p w14:paraId="717EA839">
      <w:pPr>
        <w:numPr>
          <w:ilvl w:val="255"/>
          <w:numId w:val="0"/>
        </w:num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关键部件：品牌： 型号：</w:t>
      </w:r>
    </w:p>
    <w:p w14:paraId="6DB16E5C">
      <w:pPr>
        <w:pStyle w:val="21"/>
        <w:spacing w:line="360" w:lineRule="auto"/>
        <w:ind w:firstLine="420"/>
        <w:rPr>
          <w:rFonts w:hint="eastAsia" w:ascii="宋体" w:hAnsi="宋体" w:eastAsia="宋体" w:cs="宋体"/>
          <w:color w:val="auto"/>
          <w:sz w:val="21"/>
          <w:highlight w:val="none"/>
        </w:rPr>
      </w:pPr>
      <w:r>
        <w:rPr>
          <w:rFonts w:hint="eastAsia" w:ascii="宋体" w:hAnsi="宋体" w:eastAsia="宋体" w:cs="宋体"/>
          <w:color w:val="auto"/>
          <w:kern w:val="2"/>
          <w:sz w:val="21"/>
          <w:highlight w:val="none"/>
        </w:rPr>
        <w:t>关键部件</w:t>
      </w:r>
      <w:r>
        <w:rPr>
          <w:rFonts w:hint="eastAsia" w:ascii="宋体" w:hAnsi="宋体" w:eastAsia="宋体" w:cs="宋体"/>
          <w:color w:val="auto"/>
          <w:sz w:val="21"/>
          <w:highlight w:val="none"/>
        </w:rPr>
        <w:t>： 品牌： 型号：</w:t>
      </w:r>
    </w:p>
    <w:p w14:paraId="28F14AF7">
      <w:pPr>
        <w:pStyle w:val="21"/>
        <w:spacing w:line="360" w:lineRule="auto"/>
        <w:ind w:firstLine="420"/>
        <w:rPr>
          <w:rFonts w:hint="eastAsia" w:ascii="宋体" w:hAnsi="宋体" w:eastAsia="宋体" w:cs="宋体"/>
          <w:color w:val="auto"/>
          <w:sz w:val="21"/>
          <w:highlight w:val="none"/>
        </w:rPr>
      </w:pPr>
      <w:r>
        <w:rPr>
          <w:rFonts w:hint="eastAsia" w:ascii="宋体" w:hAnsi="宋体" w:eastAsia="宋体" w:cs="宋体"/>
          <w:color w:val="auto"/>
          <w:sz w:val="21"/>
          <w:highlight w:val="none"/>
        </w:rPr>
        <w:t xml:space="preserve">     关键部件： 品牌： 型号：</w:t>
      </w:r>
    </w:p>
    <w:p w14:paraId="7802A216">
      <w:pPr>
        <w:pStyle w:val="21"/>
        <w:numPr>
          <w:ilvl w:val="255"/>
          <w:numId w:val="0"/>
        </w:numPr>
        <w:snapToGrid w:val="0"/>
        <w:spacing w:line="36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rPr>
        <w:t xml:space="preserve">   （注：关键部件是指财政部会同有关部门发布的政府采购需求标准规定的需要通过国家有关部门指定的测评机构开展的安全可靠测评的软硬件，如CPU芯片、操作系统、数据库等。）</w:t>
      </w:r>
    </w:p>
    <w:p w14:paraId="0BE31DD1">
      <w:pPr>
        <w:pStyle w:val="21"/>
        <w:numPr>
          <w:ilvl w:val="255"/>
          <w:numId w:val="0"/>
        </w:numPr>
        <w:snapToGrid w:val="0"/>
        <w:spacing w:line="360" w:lineRule="auto"/>
        <w:rPr>
          <w:rFonts w:hint="eastAsia" w:ascii="宋体" w:hAnsi="宋体" w:eastAsia="宋体" w:cs="宋体"/>
          <w:color w:val="auto"/>
          <w:sz w:val="21"/>
          <w:highlight w:val="none"/>
        </w:rPr>
      </w:pPr>
      <w:r>
        <w:rPr>
          <w:rFonts w:hint="eastAsia" w:ascii="汉仪书宋二S" w:hAnsi="汉仪书宋二S" w:eastAsia="汉仪书宋二S" w:cs="汉仪书宋二S"/>
          <w:color w:val="auto"/>
          <w:sz w:val="21"/>
          <w:highlight w:val="none"/>
        </w:rPr>
        <w:t>②</w:t>
      </w:r>
      <w:r>
        <w:rPr>
          <w:rFonts w:hint="eastAsia" w:ascii="宋体" w:hAnsi="宋体" w:eastAsia="宋体" w:cs="宋体"/>
          <w:color w:val="auto"/>
          <w:sz w:val="21"/>
          <w:highlight w:val="none"/>
        </w:rPr>
        <w:t>涉及车辆采购，请填写是否属于新能源汽车：</w:t>
      </w:r>
    </w:p>
    <w:p w14:paraId="607822F1">
      <w:pPr>
        <w:pStyle w:val="21"/>
        <w:numPr>
          <w:ilvl w:val="255"/>
          <w:numId w:val="0"/>
        </w:numPr>
        <w:snapToGrid w:val="0"/>
        <w:spacing w:line="36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是，《政府采购品目分类目录》底级品目名称： 数量： 金额：</w:t>
      </w:r>
    </w:p>
    <w:p w14:paraId="3FB04CDD">
      <w:pPr>
        <w:pStyle w:val="21"/>
        <w:numPr>
          <w:ilvl w:val="255"/>
          <w:numId w:val="0"/>
        </w:numPr>
        <w:snapToGrid w:val="0"/>
        <w:spacing w:line="36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否</w:t>
      </w:r>
    </w:p>
    <w:p w14:paraId="346CE184">
      <w:pPr>
        <w:pStyle w:val="21"/>
        <w:numPr>
          <w:ilvl w:val="255"/>
          <w:numId w:val="0"/>
        </w:numPr>
        <w:snapToGrid w:val="0"/>
        <w:spacing w:line="360" w:lineRule="auto"/>
        <w:rPr>
          <w:rFonts w:hint="eastAsia" w:ascii="宋体" w:hAnsi="宋体" w:eastAsia="宋体" w:cs="宋体"/>
          <w:color w:val="auto"/>
          <w:sz w:val="21"/>
          <w:highlight w:val="none"/>
        </w:rPr>
      </w:pPr>
      <w:r>
        <w:rPr>
          <w:rFonts w:hint="eastAsia" w:ascii="宋体" w:hAnsi="宋体" w:eastAsia="宋体" w:cs="宋体"/>
          <w:color w:val="auto"/>
          <w:sz w:val="21"/>
          <w:highlight w:val="none"/>
        </w:rPr>
        <w:t xml:space="preserve">    （</w:t>
      </w:r>
      <w:r>
        <w:rPr>
          <w:rFonts w:ascii="宋体" w:hAnsi="宋体" w:eastAsia="宋体" w:cs="宋体"/>
          <w:color w:val="auto"/>
          <w:sz w:val="21"/>
          <w:highlight w:val="none"/>
        </w:rPr>
        <w:t>4</w:t>
      </w:r>
      <w:r>
        <w:rPr>
          <w:rFonts w:hint="eastAsia" w:ascii="宋体" w:hAnsi="宋体" w:eastAsia="宋体" w:cs="宋体"/>
          <w:color w:val="auto"/>
          <w:sz w:val="21"/>
          <w:highlight w:val="none"/>
        </w:rPr>
        <w:t>）政府采购组织形式：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政府集中采购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部门集中采购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分散采购</w:t>
      </w:r>
    </w:p>
    <w:p w14:paraId="73C316E7">
      <w:pPr>
        <w:pStyle w:val="21"/>
        <w:numPr>
          <w:ilvl w:val="255"/>
          <w:numId w:val="0"/>
        </w:numPr>
        <w:snapToGrid w:val="0"/>
        <w:spacing w:line="360" w:lineRule="auto"/>
        <w:ind w:firstLine="420"/>
        <w:rPr>
          <w:rFonts w:hint="eastAsia" w:ascii="宋体" w:hAnsi="宋体" w:eastAsia="宋体" w:cs="宋体"/>
          <w:color w:val="auto"/>
          <w:sz w:val="21"/>
          <w:highlight w:val="none"/>
        </w:rPr>
      </w:pPr>
      <w:r>
        <w:rPr>
          <w:rFonts w:hint="eastAsia" w:ascii="宋体" w:hAnsi="宋体" w:eastAsia="宋体" w:cs="宋体"/>
          <w:color w:val="auto"/>
          <w:sz w:val="21"/>
          <w:highlight w:val="none"/>
        </w:rPr>
        <w:t>（</w:t>
      </w:r>
      <w:r>
        <w:rPr>
          <w:rFonts w:ascii="宋体" w:hAnsi="宋体" w:eastAsia="宋体" w:cs="宋体"/>
          <w:color w:val="auto"/>
          <w:sz w:val="21"/>
          <w:highlight w:val="none"/>
        </w:rPr>
        <w:t>5</w:t>
      </w:r>
      <w:r>
        <w:rPr>
          <w:rFonts w:hint="eastAsia" w:ascii="宋体" w:hAnsi="宋体" w:eastAsia="宋体" w:cs="宋体"/>
          <w:color w:val="auto"/>
          <w:sz w:val="21"/>
          <w:highlight w:val="none"/>
        </w:rPr>
        <w:t>）政府采购方式：</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公开招标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邀请招标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竞争性谈判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竞争性磋商</w:t>
      </w:r>
    </w:p>
    <w:p w14:paraId="4E415865">
      <w:pPr>
        <w:pStyle w:val="21"/>
        <w:numPr>
          <w:ilvl w:val="255"/>
          <w:numId w:val="0"/>
        </w:numPr>
        <w:snapToGrid w:val="0"/>
        <w:spacing w:line="360" w:lineRule="auto"/>
        <w:ind w:firstLine="420"/>
        <w:rPr>
          <w:rFonts w:hint="eastAsia" w:ascii="宋体" w:hAnsi="宋体" w:eastAsia="宋体" w:cs="宋体"/>
          <w:color w:val="auto"/>
          <w:sz w:val="21"/>
          <w:highlight w:val="none"/>
          <w:u w:val="single"/>
        </w:rPr>
      </w:pP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询价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单一来源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 xml:space="preserve">框架协议 </w:t>
      </w:r>
      <w:r>
        <w:rPr>
          <w:rFonts w:hint="eastAsia" w:ascii="宋体" w:hAnsi="宋体" w:eastAsia="宋体" w:cs="宋体"/>
          <w:color w:val="auto"/>
          <w:sz w:val="21"/>
          <w:highlight w:val="none"/>
        </w:rPr>
        <w:sym w:font="Wingdings" w:char="00A8"/>
      </w:r>
      <w:r>
        <w:rPr>
          <w:rFonts w:hint="eastAsia" w:ascii="宋体" w:hAnsi="宋体" w:eastAsia="宋体" w:cs="宋体"/>
          <w:color w:val="auto"/>
          <w:sz w:val="21"/>
          <w:highlight w:val="none"/>
        </w:rPr>
        <w:t>其他：</w:t>
      </w:r>
    </w:p>
    <w:p w14:paraId="315A413C">
      <w:pPr>
        <w:pStyle w:val="21"/>
        <w:numPr>
          <w:ilvl w:val="255"/>
          <w:numId w:val="0"/>
        </w:numPr>
        <w:snapToGrid w:val="0"/>
        <w:spacing w:line="360" w:lineRule="auto"/>
        <w:ind w:firstLine="420"/>
        <w:rPr>
          <w:rFonts w:hint="eastAsia" w:ascii="宋体" w:hAnsi="宋体" w:eastAsia="宋体" w:cs="宋体"/>
          <w:color w:val="auto"/>
          <w:sz w:val="21"/>
          <w:highlight w:val="none"/>
        </w:rPr>
      </w:pPr>
      <w:r>
        <w:rPr>
          <w:rFonts w:hint="eastAsia" w:ascii="宋体" w:hAnsi="宋体" w:eastAsia="宋体" w:cs="宋体"/>
          <w:color w:val="auto"/>
          <w:sz w:val="21"/>
          <w:highlight w:val="none"/>
        </w:rPr>
        <w:t>（注：在框架协议采购的第二阶段，可选择使用该合同文本）</w:t>
      </w:r>
    </w:p>
    <w:p w14:paraId="273691F3">
      <w:pPr>
        <w:pStyle w:val="21"/>
        <w:numPr>
          <w:ilvl w:val="255"/>
          <w:numId w:val="0"/>
        </w:numPr>
        <w:snapToGrid w:val="0"/>
        <w:spacing w:line="360" w:lineRule="auto"/>
        <w:ind w:firstLine="220" w:firstLineChars="100"/>
        <w:rPr>
          <w:rFonts w:hint="eastAsia" w:ascii="宋体" w:hAnsi="宋体" w:eastAsia="宋体" w:cs="Times New Roman"/>
          <w:color w:val="auto"/>
          <w:kern w:val="2"/>
          <w:sz w:val="21"/>
          <w:highlight w:val="none"/>
        </w:rPr>
      </w:pPr>
      <w:r>
        <w:rPr>
          <w:rFonts w:hint="eastAsia" w:ascii="宋体" w:hAnsi="宋体"/>
          <w:color w:val="auto"/>
          <w:highlight w:val="none"/>
        </w:rPr>
        <w:t>（</w:t>
      </w:r>
      <w:r>
        <w:rPr>
          <w:rFonts w:ascii="宋体" w:hAnsi="宋体"/>
          <w:color w:val="auto"/>
          <w:highlight w:val="none"/>
        </w:rPr>
        <w:t>6</w:t>
      </w:r>
      <w:r>
        <w:rPr>
          <w:rFonts w:hint="eastAsia" w:ascii="宋体" w:hAnsi="宋体"/>
          <w:color w:val="auto"/>
          <w:highlight w:val="none"/>
        </w:rPr>
        <w:t>）</w:t>
      </w:r>
      <w:r>
        <w:rPr>
          <w:rFonts w:hint="eastAsia" w:ascii="宋体" w:hAnsi="宋体" w:eastAsia="宋体" w:cs="Times New Roman"/>
          <w:color w:val="auto"/>
          <w:kern w:val="2"/>
          <w:sz w:val="21"/>
          <w:highlight w:val="none"/>
        </w:rPr>
        <w:t>中标（成交）采购标的制造商是否为中小企业：</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 xml:space="preserve">是      </w:t>
      </w: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03390C86">
      <w:pPr>
        <w:numPr>
          <w:ilvl w:val="255"/>
          <w:numId w:val="0"/>
        </w:numPr>
        <w:adjustRightInd w:val="0"/>
        <w:snapToGrid w:val="0"/>
        <w:spacing w:line="360" w:lineRule="auto"/>
        <w:rPr>
          <w:rFonts w:hint="eastAsia" w:ascii="宋体" w:hAnsi="宋体"/>
          <w:iCs/>
          <w:color w:val="auto"/>
          <w:szCs w:val="21"/>
          <w:highlight w:val="none"/>
        </w:rPr>
      </w:pPr>
      <w:r>
        <w:rPr>
          <w:rFonts w:hint="eastAsia" w:ascii="宋体" w:hAnsi="宋体"/>
          <w:color w:val="auto"/>
          <w:szCs w:val="21"/>
          <w:highlight w:val="none"/>
        </w:rPr>
        <w:t xml:space="preserve">         本合同是否为专门面向中小企业的采购合同（中小企业预留合同）：</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562898CB">
      <w:pPr>
        <w:numPr>
          <w:ilvl w:val="255"/>
          <w:numId w:val="0"/>
        </w:numPr>
        <w:adjustRightInd w:val="0"/>
        <w:snapToGrid w:val="0"/>
        <w:spacing w:line="360" w:lineRule="auto"/>
        <w:rPr>
          <w:rFonts w:hint="eastAsia" w:ascii="宋体" w:hAnsi="宋体"/>
          <w:iCs/>
          <w:color w:val="auto"/>
          <w:szCs w:val="21"/>
          <w:highlight w:val="none"/>
        </w:rPr>
      </w:pPr>
      <w:r>
        <w:rPr>
          <w:rFonts w:hint="eastAsia" w:ascii="Calibri" w:hAnsi="Calibri"/>
          <w:color w:val="auto"/>
          <w:szCs w:val="20"/>
          <w:highlight w:val="none"/>
        </w:rPr>
        <w:t>若本项目不专门面向中小企业采购，是否给予小微企业评审优惠：</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0F3EF75B">
      <w:pPr>
        <w:numPr>
          <w:ilvl w:val="255"/>
          <w:numId w:val="0"/>
        </w:numPr>
        <w:adjustRightInd w:val="0"/>
        <w:snapToGrid w:val="0"/>
        <w:spacing w:line="360" w:lineRule="auto"/>
        <w:rPr>
          <w:rFonts w:hint="eastAsia" w:ascii="宋体" w:hAnsi="宋体"/>
          <w:iCs/>
          <w:color w:val="auto"/>
          <w:szCs w:val="21"/>
          <w:highlight w:val="none"/>
        </w:rPr>
      </w:pPr>
      <w:r>
        <w:rPr>
          <w:rFonts w:hint="eastAsia" w:ascii="Calibri" w:hAnsi="Calibri"/>
          <w:color w:val="auto"/>
          <w:szCs w:val="20"/>
          <w:highlight w:val="none"/>
        </w:rPr>
        <w:t>中标（成交）采购标的制造商是否为残疾人福利性单位：</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73CB9C74">
      <w:pPr>
        <w:snapToGrid w:val="0"/>
        <w:spacing w:line="360" w:lineRule="auto"/>
        <w:rPr>
          <w:rFonts w:ascii="Calibri" w:hAnsi="Calibri"/>
          <w:color w:val="auto"/>
          <w:szCs w:val="20"/>
          <w:highlight w:val="none"/>
        </w:rPr>
      </w:pPr>
      <w:r>
        <w:rPr>
          <w:rFonts w:hint="eastAsia" w:ascii="Calibri" w:hAnsi="Calibri"/>
          <w:color w:val="auto"/>
          <w:szCs w:val="20"/>
          <w:highlight w:val="none"/>
        </w:rPr>
        <w:t>中标（成交）采购标的制造商是否为监狱企业：</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7755A3B7">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7</w:t>
      </w:r>
      <w:r>
        <w:rPr>
          <w:rFonts w:hint="eastAsia" w:ascii="宋体" w:hAnsi="宋体"/>
          <w:color w:val="auto"/>
          <w:szCs w:val="21"/>
          <w:highlight w:val="none"/>
        </w:rPr>
        <w:t>）合同是否分包：</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是       </w:t>
      </w:r>
      <w:r>
        <w:rPr>
          <w:rFonts w:hint="eastAsia" w:ascii="宋体" w:hAnsi="宋体"/>
          <w:iCs/>
          <w:color w:val="auto"/>
          <w:szCs w:val="21"/>
          <w:highlight w:val="none"/>
        </w:rPr>
        <w:sym w:font="Wingdings" w:char="00A8"/>
      </w:r>
      <w:r>
        <w:rPr>
          <w:rFonts w:hint="eastAsia" w:ascii="宋体" w:hAnsi="宋体"/>
          <w:iCs/>
          <w:color w:val="auto"/>
          <w:szCs w:val="21"/>
          <w:highlight w:val="none"/>
        </w:rPr>
        <w:t>否</w:t>
      </w:r>
    </w:p>
    <w:p w14:paraId="31E5FED4">
      <w:pPr>
        <w:adjustRightInd w:val="0"/>
        <w:snapToGrid w:val="0"/>
        <w:spacing w:line="360" w:lineRule="auto"/>
        <w:ind w:firstLine="840" w:firstLineChars="400"/>
        <w:rPr>
          <w:rFonts w:hint="eastAsia" w:ascii="宋体" w:hAnsi="宋体"/>
          <w:color w:val="auto"/>
          <w:szCs w:val="21"/>
          <w:highlight w:val="none"/>
          <w:u w:val="single"/>
        </w:rPr>
      </w:pPr>
      <w:r>
        <w:rPr>
          <w:rFonts w:hint="eastAsia" w:ascii="宋体" w:hAnsi="宋体"/>
          <w:color w:val="auto"/>
          <w:szCs w:val="21"/>
          <w:highlight w:val="none"/>
        </w:rPr>
        <w:t xml:space="preserve"> 分包主要内容：</w:t>
      </w:r>
    </w:p>
    <w:p w14:paraId="665A8FA1">
      <w:pPr>
        <w:adjustRightInd w:val="0"/>
        <w:snapToGrid w:val="0"/>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 xml:space="preserve"> 分包供应商/制造商名称（如供应商和制造商不同，请分别填写）：</w:t>
      </w:r>
    </w:p>
    <w:p w14:paraId="2CECBE44">
      <w:pPr>
        <w:adjustRightInd w:val="0"/>
        <w:snapToGrid w:val="0"/>
        <w:spacing w:line="360" w:lineRule="auto"/>
        <w:ind w:firstLine="840" w:firstLineChars="400"/>
        <w:rPr>
          <w:rFonts w:hint="eastAsia" w:ascii="宋体" w:hAnsi="宋体"/>
          <w:color w:val="auto"/>
          <w:szCs w:val="21"/>
          <w:highlight w:val="none"/>
          <w:u w:val="single"/>
        </w:rPr>
      </w:pPr>
    </w:p>
    <w:p w14:paraId="719B3AD4">
      <w:pPr>
        <w:adjustRightInd w:val="0"/>
        <w:snapToGrid w:val="0"/>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 xml:space="preserve"> 分包供应商/制造商类型（如果供应商和制造商不同，只填写制造商类型）：</w:t>
      </w:r>
    </w:p>
    <w:p w14:paraId="2B9DB1E6">
      <w:pPr>
        <w:adjustRightInd w:val="0"/>
        <w:snapToGrid w:val="0"/>
        <w:spacing w:line="360" w:lineRule="auto"/>
        <w:ind w:firstLine="840" w:firstLineChars="400"/>
        <w:rPr>
          <w:rFonts w:hint="eastAsia"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大型企业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中型企业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小微型企业  </w:t>
      </w:r>
    </w:p>
    <w:p w14:paraId="62C12F6E">
      <w:pPr>
        <w:adjustRightInd w:val="0"/>
        <w:snapToGrid w:val="0"/>
        <w:spacing w:line="360" w:lineRule="auto"/>
        <w:ind w:firstLine="840" w:firstLineChars="400"/>
        <w:rPr>
          <w:rFonts w:ascii="Calibri" w:hAnsi="Calibri" w:eastAsia="华文楷体"/>
          <w:color w:val="auto"/>
          <w:szCs w:val="20"/>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残疾人福利性单位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监狱企业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5901B3DF">
      <w:pPr>
        <w:numPr>
          <w:ilvl w:val="255"/>
          <w:numId w:val="0"/>
        </w:numPr>
        <w:adjustRightInd w:val="0"/>
        <w:snapToGrid w:val="0"/>
        <w:spacing w:line="360" w:lineRule="auto"/>
        <w:rPr>
          <w:rFonts w:hint="eastAsia" w:ascii="宋体" w:hAnsi="宋体" w:cs="宋体"/>
          <w:iCs/>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8</w:t>
      </w:r>
      <w:r>
        <w:rPr>
          <w:rFonts w:hint="eastAsia" w:ascii="宋体" w:hAnsi="宋体" w:cs="宋体"/>
          <w:color w:val="auto"/>
          <w:szCs w:val="21"/>
          <w:highlight w:val="none"/>
        </w:rPr>
        <w:t>）中标（成交）供应商是否为外商投资企业：</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 xml:space="preserve">是       </w:t>
      </w:r>
      <w:r>
        <w:rPr>
          <w:rFonts w:hint="eastAsia" w:ascii="宋体" w:hAnsi="宋体" w:cs="宋体"/>
          <w:iCs/>
          <w:color w:val="auto"/>
          <w:szCs w:val="21"/>
          <w:highlight w:val="none"/>
        </w:rPr>
        <w:sym w:font="Wingdings" w:char="00A8"/>
      </w:r>
      <w:r>
        <w:rPr>
          <w:rFonts w:hint="eastAsia" w:ascii="宋体" w:hAnsi="宋体" w:cs="宋体"/>
          <w:iCs/>
          <w:color w:val="auto"/>
          <w:szCs w:val="21"/>
          <w:highlight w:val="none"/>
        </w:rPr>
        <w:t>否</w:t>
      </w:r>
    </w:p>
    <w:p w14:paraId="436E0CE4">
      <w:pPr>
        <w:pStyle w:val="21"/>
        <w:tabs>
          <w:tab w:val="left" w:pos="1340"/>
        </w:tabs>
        <w:spacing w:line="360" w:lineRule="auto"/>
        <w:ind w:firstLine="420"/>
        <w:rPr>
          <w:rFonts w:hint="eastAsia" w:ascii="宋体" w:hAnsi="宋体" w:eastAsia="宋体" w:cs="宋体"/>
          <w:color w:val="auto"/>
          <w:sz w:val="21"/>
          <w:highlight w:val="none"/>
          <w:u w:val="single"/>
        </w:rPr>
      </w:pPr>
      <w:r>
        <w:rPr>
          <w:rFonts w:hint="eastAsia" w:ascii="宋体" w:hAnsi="宋体" w:eastAsia="宋体" w:cs="宋体"/>
          <w:color w:val="auto"/>
          <w:sz w:val="21"/>
          <w:highlight w:val="none"/>
        </w:rPr>
        <w:t xml:space="preserve">     外商投资企业类型：</w:t>
      </w:r>
      <w:r>
        <w:rPr>
          <w:rFonts w:hint="eastAsia" w:ascii="宋体" w:hAnsi="宋体" w:eastAsia="宋体" w:cs="宋体"/>
          <w:iCs/>
          <w:color w:val="auto"/>
          <w:sz w:val="21"/>
          <w:highlight w:val="none"/>
        </w:rPr>
        <w:sym w:font="Wingdings" w:char="00A8"/>
      </w:r>
      <w:r>
        <w:rPr>
          <w:rFonts w:hint="eastAsia" w:ascii="宋体" w:hAnsi="宋体" w:eastAsia="宋体" w:cs="宋体"/>
          <w:color w:val="auto"/>
          <w:sz w:val="21"/>
          <w:highlight w:val="none"/>
        </w:rPr>
        <w:t xml:space="preserve">全部由外国投资者投资  </w:t>
      </w:r>
      <w:r>
        <w:rPr>
          <w:rFonts w:hint="eastAsia" w:ascii="宋体" w:hAnsi="宋体" w:eastAsia="宋体" w:cs="宋体"/>
          <w:iCs/>
          <w:color w:val="auto"/>
          <w:sz w:val="21"/>
          <w:highlight w:val="none"/>
        </w:rPr>
        <w:sym w:font="Wingdings" w:char="00A8"/>
      </w:r>
      <w:r>
        <w:rPr>
          <w:rFonts w:hint="eastAsia" w:ascii="宋体" w:hAnsi="宋体" w:eastAsia="宋体" w:cs="宋体"/>
          <w:iCs/>
          <w:color w:val="auto"/>
          <w:sz w:val="21"/>
          <w:highlight w:val="none"/>
        </w:rPr>
        <w:t>部分由外国投资者投资</w:t>
      </w:r>
    </w:p>
    <w:p w14:paraId="395BE8DD">
      <w:pPr>
        <w:numPr>
          <w:ilvl w:val="255"/>
          <w:numId w:val="0"/>
        </w:num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9</w:t>
      </w:r>
      <w:r>
        <w:rPr>
          <w:rFonts w:hint="eastAsia" w:ascii="宋体" w:hAnsi="宋体" w:cs="宋体"/>
          <w:color w:val="auto"/>
          <w:szCs w:val="21"/>
          <w:highlight w:val="none"/>
        </w:rPr>
        <w:t>）是否涉及进口产品：</w:t>
      </w:r>
    </w:p>
    <w:p w14:paraId="7D52AFCF">
      <w:pPr>
        <w:numPr>
          <w:ilvl w:val="255"/>
          <w:numId w:val="0"/>
        </w:numPr>
        <w:adjustRightInd w:val="0"/>
        <w:snapToGrid w:val="0"/>
        <w:spacing w:line="360" w:lineRule="auto"/>
        <w:ind w:firstLine="840" w:firstLineChars="400"/>
        <w:rPr>
          <w:rFonts w:hint="eastAsia" w:ascii="宋体" w:hAnsi="宋体" w:cs="宋体"/>
          <w:color w:val="auto"/>
          <w:szCs w:val="21"/>
          <w:highlight w:val="none"/>
          <w:u w:val="single"/>
        </w:rPr>
      </w:pPr>
      <w:r>
        <w:rPr>
          <w:rFonts w:hint="eastAsia" w:ascii="宋体" w:hAnsi="宋体" w:cs="宋体"/>
          <w:color w:val="auto"/>
          <w:szCs w:val="21"/>
          <w:highlight w:val="none"/>
        </w:rPr>
        <w:sym w:font="Wingdings" w:char="00A8"/>
      </w:r>
      <w:r>
        <w:rPr>
          <w:rFonts w:hint="eastAsia" w:ascii="宋体" w:hAnsi="宋体" w:cs="宋体"/>
          <w:color w:val="auto"/>
          <w:szCs w:val="21"/>
          <w:highlight w:val="none"/>
        </w:rPr>
        <w:t>是，《政府采购品目分类目录》底级品目名称： 金额：</w:t>
      </w:r>
    </w:p>
    <w:p w14:paraId="5AC5BDE2">
      <w:pPr>
        <w:numPr>
          <w:ilvl w:val="255"/>
          <w:numId w:val="0"/>
        </w:numPr>
        <w:adjustRightInd w:val="0"/>
        <w:snapToGrid w:val="0"/>
        <w:spacing w:line="360" w:lineRule="auto"/>
        <w:ind w:firstLine="840" w:firstLineChars="400"/>
        <w:rPr>
          <w:rFonts w:hint="eastAsia" w:ascii="宋体" w:hAnsi="宋体"/>
          <w:color w:val="auto"/>
          <w:szCs w:val="21"/>
          <w:highlight w:val="none"/>
        </w:rPr>
      </w:pPr>
      <w:r>
        <w:rPr>
          <w:rFonts w:hint="eastAsia" w:ascii="宋体" w:hAnsi="宋体" w:cs="宋体"/>
          <w:color w:val="auto"/>
          <w:szCs w:val="21"/>
          <w:highlight w:val="none"/>
        </w:rPr>
        <w:t xml:space="preserve">        国别： 品牌： 规格型号：</w:t>
      </w:r>
    </w:p>
    <w:p w14:paraId="606B3440">
      <w:pPr>
        <w:adjustRightInd w:val="0"/>
        <w:snapToGrid w:val="0"/>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43685162">
      <w:pPr>
        <w:numPr>
          <w:ilvl w:val="255"/>
          <w:numId w:val="0"/>
        </w:numPr>
        <w:tabs>
          <w:tab w:val="left" w:pos="7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rPr>
        <w:t>0</w:t>
      </w:r>
      <w:r>
        <w:rPr>
          <w:rFonts w:hint="eastAsia" w:ascii="宋体" w:hAnsi="宋体"/>
          <w:color w:val="auto"/>
          <w:szCs w:val="21"/>
          <w:highlight w:val="none"/>
        </w:rPr>
        <w:t>）是否涉及节能产品：</w:t>
      </w:r>
    </w:p>
    <w:p w14:paraId="0CD93218">
      <w:pPr>
        <w:numPr>
          <w:ilvl w:val="255"/>
          <w:numId w:val="0"/>
        </w:numPr>
        <w:tabs>
          <w:tab w:val="left" w:pos="740"/>
        </w:tabs>
        <w:adjustRightInd w:val="0"/>
        <w:snapToGrid w:val="0"/>
        <w:spacing w:line="360" w:lineRule="auto"/>
        <w:rPr>
          <w:rFonts w:hint="eastAsia" w:ascii="宋体" w:hAnsi="宋体"/>
          <w:iCs/>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是，《节能产品政府采购品目清单》的底级品目名称：</w:t>
      </w:r>
    </w:p>
    <w:p w14:paraId="45C16A7A">
      <w:pPr>
        <w:numPr>
          <w:ilvl w:val="255"/>
          <w:numId w:val="0"/>
        </w:numPr>
        <w:tabs>
          <w:tab w:val="left" w:pos="740"/>
        </w:tabs>
        <w:adjustRightInd w:val="0"/>
        <w:snapToGrid w:val="0"/>
        <w:spacing w:line="360" w:lineRule="auto"/>
        <w:rPr>
          <w:rFonts w:hint="eastAsia"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13A5069D">
      <w:pPr>
        <w:numPr>
          <w:ilvl w:val="255"/>
          <w:numId w:val="0"/>
        </w:numPr>
        <w:tabs>
          <w:tab w:val="left" w:pos="7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50A4FD51">
      <w:pPr>
        <w:numPr>
          <w:ilvl w:val="255"/>
          <w:numId w:val="0"/>
        </w:numPr>
        <w:tabs>
          <w:tab w:val="left" w:pos="7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 xml:space="preserve">          是否涉及环境标志产品：</w:t>
      </w:r>
    </w:p>
    <w:p w14:paraId="154A6439">
      <w:pPr>
        <w:numPr>
          <w:ilvl w:val="255"/>
          <w:numId w:val="0"/>
        </w:numPr>
        <w:tabs>
          <w:tab w:val="left" w:pos="7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是，《环境标志产品政府采购品目清单》的底级品目名称：</w:t>
      </w:r>
    </w:p>
    <w:p w14:paraId="28F49502">
      <w:pPr>
        <w:numPr>
          <w:ilvl w:val="255"/>
          <w:numId w:val="0"/>
        </w:numPr>
        <w:tabs>
          <w:tab w:val="left" w:pos="740"/>
        </w:tabs>
        <w:adjustRightInd w:val="0"/>
        <w:snapToGrid w:val="0"/>
        <w:spacing w:line="360" w:lineRule="auto"/>
        <w:rPr>
          <w:rFonts w:hint="eastAsia"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6B2A16C4">
      <w:pPr>
        <w:numPr>
          <w:ilvl w:val="255"/>
          <w:numId w:val="0"/>
        </w:numPr>
        <w:tabs>
          <w:tab w:val="left" w:pos="7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否</w:t>
      </w:r>
    </w:p>
    <w:p w14:paraId="799D327D">
      <w:pPr>
        <w:pStyle w:val="21"/>
        <w:numPr>
          <w:ilvl w:val="255"/>
          <w:numId w:val="0"/>
        </w:numPr>
        <w:snapToGrid w:val="0"/>
        <w:spacing w:line="360" w:lineRule="auto"/>
        <w:rPr>
          <w:rFonts w:hint="eastAsia" w:ascii="宋体" w:hAnsi="宋体" w:eastAsia="宋体" w:cs="Times New Roman"/>
          <w:color w:val="auto"/>
          <w:kern w:val="2"/>
          <w:sz w:val="21"/>
          <w:highlight w:val="none"/>
        </w:rPr>
      </w:pPr>
      <w:r>
        <w:rPr>
          <w:rFonts w:hint="eastAsia" w:ascii="宋体" w:hAnsi="宋体" w:eastAsia="宋体" w:cs="Times New Roman"/>
          <w:color w:val="auto"/>
          <w:kern w:val="2"/>
          <w:sz w:val="21"/>
          <w:highlight w:val="none"/>
        </w:rPr>
        <w:t xml:space="preserve">是否涉及绿色产品： </w:t>
      </w:r>
    </w:p>
    <w:p w14:paraId="2726E9B0">
      <w:pPr>
        <w:pStyle w:val="21"/>
        <w:spacing w:line="360" w:lineRule="auto"/>
        <w:ind w:firstLine="420" w:firstLineChars="0"/>
        <w:rPr>
          <w:rFonts w:hint="eastAsia" w:ascii="宋体" w:hAnsi="宋体" w:eastAsia="宋体"/>
          <w:color w:val="auto"/>
          <w:highlight w:val="none"/>
          <w:u w:val="single"/>
        </w:rPr>
      </w:pP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是，绿色产品政府采购相关政策确定的底级品目名称：</w:t>
      </w:r>
    </w:p>
    <w:p w14:paraId="5A3B3B16">
      <w:pPr>
        <w:numPr>
          <w:ilvl w:val="255"/>
          <w:numId w:val="0"/>
        </w:numPr>
        <w:tabs>
          <w:tab w:val="left" w:pos="740"/>
        </w:tabs>
        <w:adjustRightInd w:val="0"/>
        <w:snapToGrid w:val="0"/>
        <w:spacing w:line="360" w:lineRule="auto"/>
        <w:rPr>
          <w:rFonts w:hint="eastAsia" w:ascii="宋体" w:hAnsi="宋体"/>
          <w:iCs/>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强制采购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优先采购    </w:t>
      </w:r>
    </w:p>
    <w:p w14:paraId="1C22E281">
      <w:pPr>
        <w:pStyle w:val="21"/>
        <w:spacing w:line="360" w:lineRule="auto"/>
        <w:ind w:firstLine="420" w:firstLineChars="0"/>
        <w:rPr>
          <w:rFonts w:hint="eastAsia" w:ascii="宋体" w:hAnsi="宋体"/>
          <w:color w:val="auto"/>
          <w:sz w:val="21"/>
          <w:highlight w:val="none"/>
        </w:rPr>
      </w:pPr>
      <w:r>
        <w:rPr>
          <w:rFonts w:hint="eastAsia" w:ascii="宋体" w:hAnsi="宋体" w:eastAsia="宋体" w:cs="Times New Roman"/>
          <w:color w:val="auto"/>
          <w:kern w:val="2"/>
          <w:sz w:val="21"/>
          <w:highlight w:val="none"/>
        </w:rPr>
        <w:sym w:font="Wingdings" w:char="00A8"/>
      </w:r>
      <w:r>
        <w:rPr>
          <w:rFonts w:hint="eastAsia" w:ascii="宋体" w:hAnsi="宋体" w:eastAsia="宋体" w:cs="Times New Roman"/>
          <w:color w:val="auto"/>
          <w:kern w:val="2"/>
          <w:sz w:val="21"/>
          <w:highlight w:val="none"/>
        </w:rPr>
        <w:t>否</w:t>
      </w:r>
    </w:p>
    <w:p w14:paraId="54A588E9">
      <w:pPr>
        <w:numPr>
          <w:ilvl w:val="255"/>
          <w:numId w:val="0"/>
        </w:num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 xml:space="preserve">    （1</w:t>
      </w:r>
      <w:r>
        <w:rPr>
          <w:rFonts w:ascii="宋体" w:hAnsi="宋体"/>
          <w:color w:val="auto"/>
          <w:szCs w:val="21"/>
          <w:highlight w:val="none"/>
        </w:rPr>
        <w:t>1</w:t>
      </w:r>
      <w:r>
        <w:rPr>
          <w:rFonts w:hint="eastAsia" w:ascii="宋体" w:hAnsi="宋体"/>
          <w:color w:val="auto"/>
          <w:szCs w:val="21"/>
          <w:highlight w:val="none"/>
        </w:rPr>
        <w:t>）涉及商品包装和快递包装的，是否参考《商品包装政府采购需求标准（试行）》、《快递包装政府采购需求标准（试行）》明确产品及相关快递服务的具体包装要求：</w:t>
      </w:r>
    </w:p>
    <w:p w14:paraId="13AE0B01">
      <w:pPr>
        <w:numPr>
          <w:ilvl w:val="255"/>
          <w:numId w:val="0"/>
        </w:numPr>
        <w:adjustRightInd w:val="0"/>
        <w:snapToGrid w:val="0"/>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 xml:space="preserve">是       </w:t>
      </w:r>
      <w:r>
        <w:rPr>
          <w:rFonts w:hint="eastAsia" w:ascii="宋体" w:hAnsi="宋体"/>
          <w:color w:val="auto"/>
          <w:szCs w:val="21"/>
          <w:highlight w:val="none"/>
        </w:rPr>
        <w:sym w:font="Wingdings" w:char="00A8"/>
      </w:r>
      <w:r>
        <w:rPr>
          <w:rFonts w:hint="eastAsia" w:ascii="宋体" w:hAnsi="宋体"/>
          <w:color w:val="auto"/>
          <w:szCs w:val="21"/>
          <w:highlight w:val="none"/>
        </w:rPr>
        <w:t xml:space="preserve">否      </w:t>
      </w:r>
      <w:r>
        <w:rPr>
          <w:rFonts w:hint="eastAsia" w:ascii="宋体" w:hAnsi="宋体"/>
          <w:color w:val="auto"/>
          <w:szCs w:val="21"/>
          <w:highlight w:val="none"/>
        </w:rPr>
        <w:sym w:font="Wingdings" w:char="00A8"/>
      </w:r>
      <w:r>
        <w:rPr>
          <w:rFonts w:hint="eastAsia" w:ascii="宋体" w:hAnsi="宋体"/>
          <w:color w:val="auto"/>
          <w:szCs w:val="21"/>
          <w:highlight w:val="none"/>
        </w:rPr>
        <w:t>不涉及</w:t>
      </w:r>
    </w:p>
    <w:p w14:paraId="4B8CF538">
      <w:pPr>
        <w:numPr>
          <w:ilvl w:val="0"/>
          <w:numId w:val="4"/>
        </w:numPr>
        <w:adjustRightInd w:val="0"/>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合同金额</w:t>
      </w:r>
    </w:p>
    <w:p w14:paraId="7C0DD498">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（1）合同金额小写：</w:t>
      </w:r>
    </w:p>
    <w:p w14:paraId="56B3DAC1">
      <w:pPr>
        <w:adjustRightInd w:val="0"/>
        <w:snapToGrid w:val="0"/>
        <w:spacing w:line="360" w:lineRule="auto"/>
        <w:rPr>
          <w:rFonts w:hint="eastAsia" w:ascii="宋体" w:hAnsi="宋体"/>
          <w:color w:val="auto"/>
          <w:szCs w:val="21"/>
          <w:highlight w:val="none"/>
          <w:u w:val="single"/>
        </w:rPr>
      </w:pPr>
      <w:r>
        <w:rPr>
          <w:rFonts w:hint="eastAsia" w:ascii="宋体" w:hAnsi="宋体"/>
          <w:color w:val="auto"/>
          <w:szCs w:val="21"/>
          <w:highlight w:val="none"/>
        </w:rPr>
        <w:t xml:space="preserve">                 大写：</w:t>
      </w:r>
    </w:p>
    <w:p w14:paraId="56FCA126">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 xml:space="preserve">         分包金额（如有）小写：</w:t>
      </w:r>
    </w:p>
    <w:p w14:paraId="78FD6893">
      <w:pPr>
        <w:adjustRightInd w:val="0"/>
        <w:snapToGrid w:val="0"/>
        <w:spacing w:line="360" w:lineRule="auto"/>
        <w:rPr>
          <w:rFonts w:hint="eastAsia" w:ascii="宋体" w:hAnsi="宋体"/>
          <w:color w:val="auto"/>
          <w:szCs w:val="21"/>
          <w:highlight w:val="none"/>
          <w:u w:val="single"/>
        </w:rPr>
      </w:pPr>
      <w:r>
        <w:rPr>
          <w:rFonts w:hint="eastAsia" w:ascii="宋体" w:hAnsi="宋体"/>
          <w:color w:val="auto"/>
          <w:szCs w:val="21"/>
          <w:highlight w:val="none"/>
        </w:rPr>
        <w:t xml:space="preserve">                     大写：</w:t>
      </w:r>
    </w:p>
    <w:p w14:paraId="1BE8BC96">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 xml:space="preserve">    （注：固定单价合同应填写单价和最高限价）</w:t>
      </w:r>
    </w:p>
    <w:p w14:paraId="1BFCA318">
      <w:pPr>
        <w:numPr>
          <w:ilvl w:val="255"/>
          <w:numId w:val="0"/>
        </w:num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 xml:space="preserve">    （2）合同定价方式（采用组合定价方式的，可以勾选多项）：</w:t>
      </w:r>
    </w:p>
    <w:p w14:paraId="6584D8EC">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固定费率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绩效激励 </w:t>
      </w:r>
      <w:r>
        <w:rPr>
          <w:rFonts w:hint="eastAsia" w:ascii="宋体" w:hAnsi="宋体"/>
          <w:iCs/>
          <w:color w:val="auto"/>
          <w:szCs w:val="21"/>
          <w:highlight w:val="none"/>
        </w:rPr>
        <w:sym w:font="Wingdings" w:char="00A8"/>
      </w:r>
      <w:r>
        <w:rPr>
          <w:rFonts w:hint="eastAsia" w:ascii="宋体" w:hAnsi="宋体"/>
          <w:iCs/>
          <w:color w:val="auto"/>
          <w:szCs w:val="21"/>
          <w:highlight w:val="none"/>
        </w:rPr>
        <w:t>其他</w:t>
      </w:r>
    </w:p>
    <w:p w14:paraId="17A1E744">
      <w:pPr>
        <w:pStyle w:val="19"/>
        <w:spacing w:line="360" w:lineRule="auto"/>
        <w:rPr>
          <w:color w:val="auto"/>
          <w:highlight w:val="none"/>
        </w:rPr>
      </w:pPr>
      <w:r>
        <w:rPr>
          <w:rFonts w:hint="eastAsia" w:ascii="宋体" w:hAnsi="宋体"/>
          <w:color w:val="auto"/>
          <w:highlight w:val="none"/>
        </w:rPr>
        <w:t>（3）付款方式（按项目实际勾选填写）：</w:t>
      </w:r>
    </w:p>
    <w:p w14:paraId="7E42A7EC">
      <w:pPr>
        <w:adjustRightInd w:val="0"/>
        <w:snapToGrid w:val="0"/>
        <w:spacing w:line="360" w:lineRule="auto"/>
        <w:ind w:firstLine="630" w:firstLineChars="300"/>
        <w:rPr>
          <w:rFonts w:hint="eastAsia"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全额付款：</w:t>
      </w:r>
      <w:r>
        <w:rPr>
          <w:rFonts w:hint="eastAsia" w:ascii="宋体" w:hAnsi="宋体"/>
          <w:color w:val="auto"/>
          <w:szCs w:val="21"/>
          <w:highlight w:val="none"/>
          <w:u w:val="single"/>
        </w:rPr>
        <w:t xml:space="preserve">     （应明确一次性支付合同款项的条件）                    </w:t>
      </w:r>
    </w:p>
    <w:p w14:paraId="759B68B3">
      <w:pPr>
        <w:snapToGrid w:val="0"/>
        <w:spacing w:line="360" w:lineRule="auto"/>
        <w:ind w:firstLine="630" w:firstLineChars="300"/>
        <w:rPr>
          <w:rFonts w:ascii="Calibri" w:hAnsi="Calibri"/>
          <w:color w:val="auto"/>
          <w:szCs w:val="20"/>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分期付款：</w:t>
      </w:r>
      <w:r>
        <w:rPr>
          <w:rFonts w:hint="eastAsia" w:ascii="宋体" w:hAnsi="宋体"/>
          <w:color w:val="auto"/>
          <w:szCs w:val="21"/>
          <w:highlight w:val="none"/>
          <w:u w:val="single"/>
        </w:rPr>
        <w:t xml:space="preserve">  （应明确分期支付合同款项的各期比例和支付条件，各期支付条件应与分期履约验收情况挂钩） </w:t>
      </w:r>
      <w:r>
        <w:rPr>
          <w:rFonts w:hint="eastAsia" w:ascii="宋体" w:hAnsi="宋体"/>
          <w:color w:val="auto"/>
          <w:szCs w:val="21"/>
          <w:highlight w:val="none"/>
        </w:rPr>
        <w:t>，其中涉及预付款的：</w:t>
      </w:r>
      <w:r>
        <w:rPr>
          <w:rFonts w:hint="eastAsia" w:ascii="宋体" w:hAnsi="宋体"/>
          <w:color w:val="auto"/>
          <w:szCs w:val="21"/>
          <w:highlight w:val="none"/>
          <w:u w:val="single"/>
        </w:rPr>
        <w:t xml:space="preserve"> （应明确预付款的支付比例和支付条件） </w:t>
      </w:r>
    </w:p>
    <w:p w14:paraId="227767F2">
      <w:pPr>
        <w:adjustRightInd w:val="0"/>
        <w:snapToGrid w:val="0"/>
        <w:spacing w:line="360" w:lineRule="auto"/>
        <w:ind w:firstLine="630" w:firstLineChars="300"/>
        <w:rPr>
          <w:rFonts w:hint="eastAsia"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14:paraId="060BFC6C">
      <w:pPr>
        <w:adjustRightInd w:val="0"/>
        <w:snapToGrid w:val="0"/>
        <w:spacing w:line="360" w:lineRule="auto"/>
        <w:ind w:firstLine="630" w:firstLineChars="300"/>
        <w:rPr>
          <w:rFonts w:hint="eastAsia"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14:paraId="55EE797C">
      <w:pPr>
        <w:numPr>
          <w:ilvl w:val="0"/>
          <w:numId w:val="4"/>
        </w:numPr>
        <w:adjustRightInd w:val="0"/>
        <w:snapToGrid w:val="0"/>
        <w:spacing w:line="360" w:lineRule="auto"/>
        <w:ind w:firstLine="422" w:firstLineChars="200"/>
        <w:rPr>
          <w:rFonts w:hint="eastAsia" w:ascii="宋体" w:hAnsi="宋体"/>
          <w:b/>
          <w:color w:val="auto"/>
          <w:szCs w:val="21"/>
          <w:highlight w:val="none"/>
          <w:u w:val="single"/>
        </w:rPr>
      </w:pPr>
      <w:r>
        <w:rPr>
          <w:rFonts w:hint="eastAsia" w:ascii="宋体" w:hAnsi="宋体"/>
          <w:b/>
          <w:color w:val="auto"/>
          <w:szCs w:val="21"/>
          <w:highlight w:val="none"/>
        </w:rPr>
        <w:t>合同履行</w:t>
      </w:r>
    </w:p>
    <w:p w14:paraId="467658F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（1）起始日期：年月日，完成日期：年月日。</w:t>
      </w:r>
    </w:p>
    <w:p w14:paraId="43CD5E51">
      <w:pPr>
        <w:adjustRightInd w:val="0"/>
        <w:snapToGrid w:val="0"/>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（2）履约地点</w:t>
      </w:r>
      <w:r>
        <w:rPr>
          <w:rFonts w:hint="eastAsia" w:ascii="宋体" w:hAnsi="宋体" w:cs="宋体"/>
          <w:bCs/>
          <w:color w:val="auto"/>
          <w:szCs w:val="21"/>
          <w:highlight w:val="none"/>
        </w:rPr>
        <w:t>：</w:t>
      </w:r>
    </w:p>
    <w:p w14:paraId="5A5E996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bCs/>
          <w:color w:val="auto"/>
          <w:szCs w:val="21"/>
          <w:highlight w:val="none"/>
        </w:rPr>
        <w:t>（3）履约担保：</w:t>
      </w:r>
      <w:r>
        <w:rPr>
          <w:rFonts w:hint="eastAsia" w:ascii="宋体" w:hAnsi="宋体" w:cs="宋体"/>
          <w:color w:val="auto"/>
          <w:szCs w:val="20"/>
          <w:highlight w:val="none"/>
        </w:rPr>
        <w:t>是否收取履约保证金：</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cs="宋体"/>
          <w:color w:val="auto"/>
          <w:szCs w:val="21"/>
          <w:highlight w:val="none"/>
        </w:rPr>
        <w:t>否</w:t>
      </w:r>
    </w:p>
    <w:p w14:paraId="03F33974">
      <w:pPr>
        <w:pStyle w:val="21"/>
        <w:spacing w:line="360" w:lineRule="auto"/>
        <w:ind w:firstLine="420"/>
        <w:rPr>
          <w:rFonts w:hint="eastAsia" w:ascii="宋体" w:hAnsi="宋体" w:eastAsia="宋体" w:cs="宋体"/>
          <w:color w:val="auto"/>
          <w:sz w:val="21"/>
          <w:highlight w:val="none"/>
        </w:rPr>
      </w:pPr>
      <w:r>
        <w:rPr>
          <w:rFonts w:hint="eastAsia" w:ascii="宋体" w:hAnsi="宋体" w:eastAsia="宋体" w:cs="宋体"/>
          <w:color w:val="auto"/>
          <w:sz w:val="21"/>
          <w:highlight w:val="none"/>
        </w:rPr>
        <w:t xml:space="preserve">  收取履约保证金形式：</w:t>
      </w:r>
    </w:p>
    <w:p w14:paraId="6FD97CF4">
      <w:pPr>
        <w:pStyle w:val="21"/>
        <w:spacing w:line="360" w:lineRule="auto"/>
        <w:ind w:firstLine="420"/>
        <w:rPr>
          <w:rFonts w:hint="eastAsia" w:ascii="宋体" w:hAnsi="宋体" w:eastAsia="宋体" w:cs="宋体"/>
          <w:color w:val="auto"/>
          <w:sz w:val="21"/>
          <w:highlight w:val="none"/>
        </w:rPr>
      </w:pPr>
      <w:r>
        <w:rPr>
          <w:rFonts w:hint="eastAsia" w:ascii="宋体" w:hAnsi="宋体" w:eastAsia="宋体" w:cs="宋体"/>
          <w:color w:val="auto"/>
          <w:sz w:val="21"/>
          <w:highlight w:val="none"/>
        </w:rPr>
        <w:t xml:space="preserve">    收取履约保证金金额：</w:t>
      </w:r>
    </w:p>
    <w:p w14:paraId="12AFA3A1">
      <w:pPr>
        <w:snapToGrid w:val="0"/>
        <w:spacing w:line="360" w:lineRule="auto"/>
        <w:ind w:firstLine="420" w:firstLineChars="200"/>
        <w:rPr>
          <w:rFonts w:hint="eastAsia" w:ascii="宋体" w:hAnsi="宋体" w:cs="宋体"/>
          <w:color w:val="auto"/>
          <w:szCs w:val="20"/>
          <w:highlight w:val="none"/>
        </w:rPr>
      </w:pPr>
      <w:r>
        <w:rPr>
          <w:rFonts w:hint="eastAsia" w:ascii="宋体" w:hAnsi="宋体" w:cs="宋体"/>
          <w:bCs/>
          <w:color w:val="auto"/>
          <w:szCs w:val="21"/>
          <w:highlight w:val="none"/>
        </w:rPr>
        <w:t xml:space="preserve">    履约担保期限：</w:t>
      </w:r>
    </w:p>
    <w:p w14:paraId="6FA6DC1D">
      <w:pPr>
        <w:adjustRightInd w:val="0"/>
        <w:snapToGrid w:val="0"/>
        <w:spacing w:line="360" w:lineRule="auto"/>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（4）分期履行要求：</w:t>
      </w:r>
    </w:p>
    <w:p w14:paraId="683B4B41">
      <w:pPr>
        <w:adjustRightInd w:val="0"/>
        <w:snapToGrid w:val="0"/>
        <w:spacing w:line="360" w:lineRule="auto"/>
        <w:ind w:firstLine="420" w:firstLineChars="200"/>
        <w:rPr>
          <w:rFonts w:hint="eastAsia" w:ascii="宋体" w:hAnsi="宋体" w:cs="宋体"/>
          <w:color w:val="auto"/>
          <w:szCs w:val="21"/>
          <w:highlight w:val="none"/>
          <w:u w:val="single"/>
        </w:rPr>
      </w:pPr>
      <w:r>
        <w:rPr>
          <w:rFonts w:hint="eastAsia" w:ascii="宋体" w:hAnsi="宋体" w:cs="宋体"/>
          <w:bCs/>
          <w:color w:val="auto"/>
          <w:szCs w:val="21"/>
          <w:highlight w:val="none"/>
        </w:rPr>
        <w:t>（5）风险处置措施和替代方案：</w:t>
      </w:r>
    </w:p>
    <w:p w14:paraId="1A383575">
      <w:pPr>
        <w:numPr>
          <w:ilvl w:val="0"/>
          <w:numId w:val="4"/>
        </w:numPr>
        <w:adjustRightInd w:val="0"/>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合同验收</w:t>
      </w:r>
    </w:p>
    <w:p w14:paraId="0D5E85B7">
      <w:pPr>
        <w:numPr>
          <w:ilvl w:val="0"/>
          <w:numId w:val="5"/>
        </w:numPr>
        <w:adjustRightInd w:val="0"/>
        <w:snapToGrid w:val="0"/>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验收组织方式：</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自行组织 </w:t>
      </w:r>
      <w:r>
        <w:rPr>
          <w:rFonts w:hint="eastAsia" w:ascii="宋体" w:hAnsi="宋体" w:cs="宋体"/>
          <w:color w:val="auto"/>
          <w:szCs w:val="21"/>
          <w:highlight w:val="none"/>
        </w:rPr>
        <w:sym w:font="Wingdings" w:char="00A8"/>
      </w:r>
      <w:r>
        <w:rPr>
          <w:rFonts w:hint="eastAsia" w:ascii="宋体" w:hAnsi="宋体"/>
          <w:bCs/>
          <w:color w:val="auto"/>
          <w:szCs w:val="21"/>
          <w:highlight w:val="none"/>
        </w:rPr>
        <w:t>委托第三方组织</w:t>
      </w:r>
    </w:p>
    <w:p w14:paraId="7E2902E0">
      <w:pPr>
        <w:adjustRightInd w:val="0"/>
        <w:snapToGrid w:val="0"/>
        <w:spacing w:line="360" w:lineRule="auto"/>
        <w:rPr>
          <w:rFonts w:hint="eastAsia" w:ascii="宋体" w:hAnsi="宋体"/>
          <w:bCs/>
          <w:color w:val="auto"/>
          <w:szCs w:val="21"/>
          <w:highlight w:val="none"/>
        </w:rPr>
      </w:pPr>
      <w:r>
        <w:rPr>
          <w:rFonts w:hint="eastAsia" w:ascii="宋体" w:hAnsi="宋体"/>
          <w:bCs/>
          <w:color w:val="auto"/>
          <w:szCs w:val="21"/>
          <w:highlight w:val="none"/>
        </w:rPr>
        <w:t xml:space="preserve">         验收主体：</w:t>
      </w:r>
    </w:p>
    <w:p w14:paraId="17D379CB">
      <w:pPr>
        <w:adjustRightInd w:val="0"/>
        <w:snapToGrid w:val="0"/>
        <w:spacing w:line="360" w:lineRule="auto"/>
        <w:rPr>
          <w:rFonts w:hint="eastAsia" w:ascii="宋体" w:hAnsi="宋体"/>
          <w:bCs/>
          <w:color w:val="auto"/>
          <w:szCs w:val="21"/>
          <w:highlight w:val="none"/>
        </w:rPr>
      </w:pPr>
      <w:r>
        <w:rPr>
          <w:rFonts w:hint="eastAsia" w:ascii="宋体" w:hAnsi="宋体"/>
          <w:bCs/>
          <w:color w:val="auto"/>
          <w:szCs w:val="21"/>
          <w:highlight w:val="none"/>
        </w:rPr>
        <w:t xml:space="preserve">        是否邀请本项目的其他供应商参加验收：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30C99A65">
      <w:pPr>
        <w:adjustRightInd w:val="0"/>
        <w:snapToGrid w:val="0"/>
        <w:spacing w:line="360" w:lineRule="auto"/>
        <w:ind w:firstLine="840" w:firstLineChars="400"/>
        <w:rPr>
          <w:rFonts w:hint="eastAsia" w:ascii="宋体" w:hAnsi="宋体"/>
          <w:bCs/>
          <w:color w:val="auto"/>
          <w:szCs w:val="21"/>
          <w:highlight w:val="none"/>
        </w:rPr>
      </w:pPr>
      <w:r>
        <w:rPr>
          <w:rFonts w:hint="eastAsia" w:ascii="宋体" w:hAnsi="宋体"/>
          <w:bCs/>
          <w:color w:val="auto"/>
          <w:szCs w:val="21"/>
          <w:highlight w:val="none"/>
        </w:rPr>
        <w:t>是否邀请专家参加验收：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1D55549E">
      <w:pPr>
        <w:adjustRightInd w:val="0"/>
        <w:snapToGrid w:val="0"/>
        <w:spacing w:line="360" w:lineRule="auto"/>
        <w:ind w:firstLine="840" w:firstLineChars="400"/>
        <w:rPr>
          <w:rFonts w:hint="eastAsia" w:ascii="宋体" w:hAnsi="宋体"/>
          <w:bCs/>
          <w:color w:val="auto"/>
          <w:szCs w:val="21"/>
          <w:highlight w:val="none"/>
        </w:rPr>
      </w:pPr>
      <w:r>
        <w:rPr>
          <w:rFonts w:hint="eastAsia" w:ascii="宋体" w:hAnsi="宋体"/>
          <w:bCs/>
          <w:color w:val="auto"/>
          <w:szCs w:val="21"/>
          <w:highlight w:val="none"/>
        </w:rPr>
        <w:t>是否邀请服务对象参加验收：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4C905FEC">
      <w:pPr>
        <w:adjustRightInd w:val="0"/>
        <w:snapToGrid w:val="0"/>
        <w:spacing w:line="360" w:lineRule="auto"/>
        <w:ind w:firstLine="840" w:firstLineChars="400"/>
        <w:rPr>
          <w:rFonts w:hint="eastAsia" w:ascii="宋体" w:hAnsi="宋体"/>
          <w:bCs/>
          <w:color w:val="auto"/>
          <w:szCs w:val="21"/>
          <w:highlight w:val="none"/>
        </w:rPr>
      </w:pPr>
      <w:r>
        <w:rPr>
          <w:rFonts w:hint="eastAsia" w:ascii="宋体" w:hAnsi="宋体"/>
          <w:bCs/>
          <w:color w:val="auto"/>
          <w:szCs w:val="21"/>
          <w:highlight w:val="none"/>
        </w:rPr>
        <w:t>是否邀请第三方检测机构参加验收：</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是  </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4B3C8B95">
      <w:pPr>
        <w:adjustRightInd w:val="0"/>
        <w:snapToGrid w:val="0"/>
        <w:spacing w:line="360" w:lineRule="auto"/>
        <w:ind w:firstLine="840" w:firstLineChars="400"/>
        <w:rPr>
          <w:rFonts w:hint="eastAsia" w:ascii="宋体" w:hAnsi="宋体"/>
          <w:bCs/>
          <w:color w:val="auto"/>
          <w:szCs w:val="21"/>
          <w:highlight w:val="none"/>
        </w:rPr>
      </w:pPr>
      <w:r>
        <w:rPr>
          <w:rFonts w:hint="eastAsia" w:ascii="宋体" w:hAnsi="宋体"/>
          <w:bCs/>
          <w:color w:val="auto"/>
          <w:szCs w:val="21"/>
          <w:highlight w:val="none"/>
        </w:rPr>
        <w:t>是否进行抽查检测：</w:t>
      </w:r>
      <w:r>
        <w:rPr>
          <w:rFonts w:hint="eastAsia" w:ascii="宋体" w:hAnsi="宋体" w:cs="宋体"/>
          <w:color w:val="auto"/>
          <w:szCs w:val="21"/>
          <w:highlight w:val="none"/>
        </w:rPr>
        <w:sym w:font="Wingdings" w:char="00A8"/>
      </w:r>
      <w:r>
        <w:rPr>
          <w:rFonts w:hint="eastAsia" w:ascii="宋体" w:hAnsi="宋体"/>
          <w:bCs/>
          <w:color w:val="auto"/>
          <w:szCs w:val="21"/>
          <w:highlight w:val="none"/>
        </w:rPr>
        <w:t>是，抽查比例：</w:t>
      </w: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493EBDDE">
      <w:pPr>
        <w:adjustRightInd w:val="0"/>
        <w:snapToGrid w:val="0"/>
        <w:spacing w:line="360" w:lineRule="auto"/>
        <w:ind w:firstLine="840" w:firstLineChars="400"/>
        <w:rPr>
          <w:rFonts w:hint="eastAsia" w:ascii="宋体" w:hAnsi="宋体"/>
          <w:bCs/>
          <w:color w:val="auto"/>
          <w:szCs w:val="21"/>
          <w:highlight w:val="none"/>
          <w:u w:val="single"/>
        </w:rPr>
      </w:pPr>
      <w:r>
        <w:rPr>
          <w:rFonts w:hint="eastAsia" w:ascii="宋体" w:hAnsi="宋体"/>
          <w:bCs/>
          <w:color w:val="auto"/>
          <w:szCs w:val="21"/>
          <w:highlight w:val="none"/>
        </w:rPr>
        <w:t>是否存在破坏性检测：</w:t>
      </w:r>
      <w:r>
        <w:rPr>
          <w:rFonts w:hint="eastAsia" w:ascii="宋体" w:hAnsi="宋体" w:cs="宋体"/>
          <w:color w:val="auto"/>
          <w:szCs w:val="21"/>
          <w:highlight w:val="none"/>
        </w:rPr>
        <w:sym w:font="Wingdings" w:char="00A8"/>
      </w:r>
      <w:r>
        <w:rPr>
          <w:rFonts w:hint="eastAsia" w:ascii="宋体" w:hAnsi="宋体"/>
          <w:bCs/>
          <w:color w:val="auto"/>
          <w:szCs w:val="21"/>
          <w:highlight w:val="none"/>
        </w:rPr>
        <w:t>是，</w:t>
      </w:r>
      <w:r>
        <w:rPr>
          <w:rFonts w:hint="eastAsia" w:ascii="宋体" w:hAnsi="宋体"/>
          <w:bCs/>
          <w:color w:val="auto"/>
          <w:szCs w:val="21"/>
          <w:highlight w:val="none"/>
          <w:u w:val="single"/>
        </w:rPr>
        <w:t>（应明确对被破坏的检测产品的处理方式）</w:t>
      </w:r>
    </w:p>
    <w:p w14:paraId="4B0B45B5">
      <w:pPr>
        <w:adjustRightInd w:val="0"/>
        <w:snapToGrid w:val="0"/>
        <w:spacing w:line="360" w:lineRule="auto"/>
        <w:ind w:firstLine="840" w:firstLineChars="400"/>
        <w:rPr>
          <w:rFonts w:hint="eastAsia" w:ascii="宋体" w:hAnsi="宋体"/>
          <w:bCs/>
          <w:color w:val="auto"/>
          <w:szCs w:val="21"/>
          <w:highlight w:val="none"/>
        </w:rPr>
      </w:pPr>
      <w:r>
        <w:rPr>
          <w:rFonts w:hint="eastAsia" w:ascii="宋体" w:hAnsi="宋体" w:cs="宋体"/>
          <w:color w:val="auto"/>
          <w:szCs w:val="21"/>
          <w:highlight w:val="none"/>
        </w:rPr>
        <w:sym w:font="Wingdings" w:char="00A8"/>
      </w:r>
      <w:r>
        <w:rPr>
          <w:rFonts w:hint="eastAsia" w:ascii="宋体" w:hAnsi="宋体"/>
          <w:bCs/>
          <w:color w:val="auto"/>
          <w:szCs w:val="21"/>
          <w:highlight w:val="none"/>
        </w:rPr>
        <w:t>否</w:t>
      </w:r>
    </w:p>
    <w:p w14:paraId="791B8999">
      <w:pPr>
        <w:adjustRightInd w:val="0"/>
        <w:snapToGrid w:val="0"/>
        <w:spacing w:line="360" w:lineRule="auto"/>
        <w:ind w:firstLine="840" w:firstLineChars="400"/>
        <w:rPr>
          <w:rFonts w:hint="eastAsia" w:ascii="宋体" w:hAnsi="宋体"/>
          <w:bCs/>
          <w:color w:val="auto"/>
          <w:szCs w:val="21"/>
          <w:highlight w:val="none"/>
          <w:u w:val="single"/>
        </w:rPr>
      </w:pPr>
      <w:r>
        <w:rPr>
          <w:rFonts w:hint="eastAsia" w:ascii="宋体" w:hAnsi="宋体"/>
          <w:bCs/>
          <w:color w:val="auto"/>
          <w:szCs w:val="21"/>
          <w:highlight w:val="none"/>
        </w:rPr>
        <w:t>验收组织的其他事项：</w:t>
      </w:r>
    </w:p>
    <w:p w14:paraId="6EE63902">
      <w:pPr>
        <w:adjustRightInd w:val="0"/>
        <w:snapToGrid w:val="0"/>
        <w:spacing w:line="360" w:lineRule="auto"/>
        <w:ind w:firstLine="420" w:firstLineChars="200"/>
        <w:rPr>
          <w:rFonts w:hint="eastAsia" w:ascii="宋体" w:hAnsi="宋体"/>
          <w:bCs/>
          <w:color w:val="auto"/>
          <w:szCs w:val="21"/>
          <w:highlight w:val="none"/>
          <w:u w:val="single"/>
        </w:rPr>
      </w:pPr>
      <w:r>
        <w:rPr>
          <w:rFonts w:hint="eastAsia" w:ascii="宋体" w:hAnsi="宋体"/>
          <w:bCs/>
          <w:color w:val="auto"/>
          <w:szCs w:val="21"/>
          <w:highlight w:val="none"/>
        </w:rPr>
        <w:t>（2）履约验收时间：</w:t>
      </w:r>
      <w:r>
        <w:rPr>
          <w:rFonts w:hint="eastAsia" w:ascii="宋体" w:hAnsi="宋体"/>
          <w:bCs/>
          <w:color w:val="auto"/>
          <w:szCs w:val="21"/>
          <w:highlight w:val="none"/>
          <w:u w:val="single"/>
        </w:rPr>
        <w:t xml:space="preserve">（计划于何时验收/供应商提出验收申请之日起   日内组织验收） </w:t>
      </w:r>
    </w:p>
    <w:p w14:paraId="52165526">
      <w:pPr>
        <w:adjustRightInd w:val="0"/>
        <w:snapToGrid w:val="0"/>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（3）履约验收方式：</w:t>
      </w:r>
      <w:r>
        <w:rPr>
          <w:rFonts w:hint="eastAsia" w:ascii="宋体" w:hAnsi="宋体" w:cs="宋体"/>
          <w:color w:val="auto"/>
          <w:szCs w:val="21"/>
          <w:highlight w:val="none"/>
        </w:rPr>
        <w:sym w:font="Wingdings" w:char="00A8"/>
      </w:r>
      <w:r>
        <w:rPr>
          <w:rFonts w:hint="eastAsia" w:ascii="宋体" w:hAnsi="宋体"/>
          <w:bCs/>
          <w:color w:val="auto"/>
          <w:szCs w:val="21"/>
          <w:highlight w:val="none"/>
        </w:rPr>
        <w:t xml:space="preserve">一次性验收         </w:t>
      </w:r>
    </w:p>
    <w:p w14:paraId="2C1CF4C9">
      <w:pPr>
        <w:adjustRightInd w:val="0"/>
        <w:snapToGrid w:val="0"/>
        <w:spacing w:line="360" w:lineRule="auto"/>
        <w:rPr>
          <w:rFonts w:hint="eastAsia" w:ascii="宋体" w:hAnsi="宋体"/>
          <w:bCs/>
          <w:color w:val="auto"/>
          <w:szCs w:val="21"/>
          <w:highlight w:val="none"/>
        </w:rPr>
      </w:pPr>
      <w:r>
        <w:rPr>
          <w:rFonts w:hint="eastAsia" w:ascii="宋体" w:hAnsi="宋体" w:cs="宋体"/>
          <w:color w:val="auto"/>
          <w:szCs w:val="21"/>
          <w:highlight w:val="none"/>
        </w:rPr>
        <w:sym w:font="Wingdings" w:char="00A8"/>
      </w:r>
      <w:r>
        <w:rPr>
          <w:rFonts w:hint="eastAsia" w:ascii="宋体" w:hAnsi="宋体"/>
          <w:bCs/>
          <w:color w:val="auto"/>
          <w:szCs w:val="21"/>
          <w:highlight w:val="none"/>
        </w:rPr>
        <w:t>分期/分项验收：</w:t>
      </w:r>
      <w:r>
        <w:rPr>
          <w:rFonts w:hint="eastAsia" w:ascii="宋体" w:hAnsi="宋体"/>
          <w:bCs/>
          <w:color w:val="auto"/>
          <w:szCs w:val="21"/>
          <w:highlight w:val="none"/>
          <w:u w:val="single"/>
        </w:rPr>
        <w:t xml:space="preserve"> （应明确分期</w:t>
      </w:r>
      <w:r>
        <w:rPr>
          <w:rFonts w:ascii="宋体" w:hAnsi="宋体"/>
          <w:bCs/>
          <w:color w:val="auto"/>
          <w:szCs w:val="21"/>
          <w:highlight w:val="none"/>
          <w:u w:val="single"/>
        </w:rPr>
        <w:t>/</w:t>
      </w:r>
      <w:r>
        <w:rPr>
          <w:rFonts w:hint="eastAsia" w:ascii="宋体" w:hAnsi="宋体"/>
          <w:bCs/>
          <w:color w:val="auto"/>
          <w:szCs w:val="21"/>
          <w:highlight w:val="none"/>
          <w:u w:val="single"/>
        </w:rPr>
        <w:t xml:space="preserve">分项验收的工作安排）  </w:t>
      </w:r>
    </w:p>
    <w:p w14:paraId="085667DD">
      <w:pPr>
        <w:adjustRightInd w:val="0"/>
        <w:snapToGrid w:val="0"/>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（4）履约验收程序：</w:t>
      </w:r>
    </w:p>
    <w:p w14:paraId="40708B57">
      <w:pPr>
        <w:adjustRightInd w:val="0"/>
        <w:snapToGrid w:val="0"/>
        <w:spacing w:line="360" w:lineRule="auto"/>
        <w:ind w:firstLine="420" w:firstLineChars="200"/>
        <w:rPr>
          <w:rFonts w:hint="eastAsia" w:ascii="宋体" w:hAnsi="宋体"/>
          <w:bCs/>
          <w:color w:val="auto"/>
          <w:szCs w:val="21"/>
          <w:highlight w:val="none"/>
          <w:u w:val="single"/>
        </w:rPr>
      </w:pPr>
      <w:r>
        <w:rPr>
          <w:rFonts w:hint="eastAsia" w:ascii="宋体" w:hAnsi="宋体"/>
          <w:bCs/>
          <w:color w:val="auto"/>
          <w:szCs w:val="21"/>
          <w:highlight w:val="none"/>
        </w:rPr>
        <w:t>（5）履约验收的内容：</w:t>
      </w:r>
      <w:r>
        <w:rPr>
          <w:rFonts w:hint="eastAsia" w:ascii="宋体" w:hAnsi="宋体"/>
          <w:bCs/>
          <w:color w:val="auto"/>
          <w:szCs w:val="21"/>
          <w:highlight w:val="none"/>
          <w:u w:val="single"/>
        </w:rPr>
        <w:t xml:space="preserve"> （应当包括每一项技术和商务要求的履约情况，特别是落实政府采购扶持中小企业，支持绿色发展和乡村振兴等政策情况）                                      </w:t>
      </w:r>
    </w:p>
    <w:p w14:paraId="1BAE875A">
      <w:pPr>
        <w:adjustRightInd w:val="0"/>
        <w:snapToGrid w:val="0"/>
        <w:spacing w:line="360" w:lineRule="auto"/>
        <w:ind w:firstLine="420" w:firstLineChars="200"/>
        <w:rPr>
          <w:rFonts w:hint="eastAsia" w:ascii="宋体" w:hAnsi="宋体"/>
          <w:bCs/>
          <w:color w:val="auto"/>
          <w:szCs w:val="21"/>
          <w:highlight w:val="none"/>
          <w:u w:val="single"/>
        </w:rPr>
      </w:pPr>
      <w:r>
        <w:rPr>
          <w:rFonts w:hint="eastAsia" w:ascii="宋体" w:hAnsi="宋体"/>
          <w:bCs/>
          <w:color w:val="auto"/>
          <w:szCs w:val="21"/>
          <w:highlight w:val="none"/>
        </w:rPr>
        <w:t>（6）履约验收标准：</w:t>
      </w:r>
    </w:p>
    <w:p w14:paraId="31159B91">
      <w:pPr>
        <w:pStyle w:val="21"/>
        <w:spacing w:line="360" w:lineRule="auto"/>
        <w:ind w:firstLine="420"/>
        <w:rPr>
          <w:rFonts w:hint="eastAsia" w:ascii="宋体" w:hAnsi="宋体" w:eastAsia="宋体" w:cs="宋体"/>
          <w:color w:val="auto"/>
          <w:sz w:val="21"/>
          <w:highlight w:val="none"/>
        </w:rPr>
      </w:pPr>
      <w:r>
        <w:rPr>
          <w:rFonts w:hint="eastAsia" w:ascii="宋体" w:hAnsi="宋体" w:eastAsia="宋体" w:cs="宋体"/>
          <w:bCs/>
          <w:color w:val="auto"/>
          <w:sz w:val="21"/>
          <w:highlight w:val="none"/>
        </w:rPr>
        <w:t>（7）是否以采购活动中供应商提供的样品作为参考：</w:t>
      </w:r>
      <w:r>
        <w:rPr>
          <w:rFonts w:hint="eastAsia" w:ascii="宋体" w:hAnsi="宋体" w:eastAsia="宋体" w:cs="宋体"/>
          <w:color w:val="auto"/>
          <w:sz w:val="21"/>
          <w:highlight w:val="none"/>
        </w:rPr>
        <w:sym w:font="Wingdings" w:char="00A8"/>
      </w:r>
      <w:r>
        <w:rPr>
          <w:rFonts w:hint="eastAsia" w:ascii="宋体" w:hAnsi="宋体" w:eastAsia="宋体" w:cs="宋体"/>
          <w:bCs/>
          <w:color w:val="auto"/>
          <w:sz w:val="21"/>
          <w:highlight w:val="none"/>
        </w:rPr>
        <w:t xml:space="preserve">是  </w:t>
      </w:r>
      <w:r>
        <w:rPr>
          <w:rFonts w:hint="eastAsia" w:ascii="宋体" w:hAnsi="宋体" w:eastAsia="宋体" w:cs="宋体"/>
          <w:color w:val="auto"/>
          <w:sz w:val="21"/>
          <w:highlight w:val="none"/>
        </w:rPr>
        <w:sym w:font="Wingdings" w:char="00A8"/>
      </w:r>
      <w:r>
        <w:rPr>
          <w:rFonts w:hint="eastAsia" w:ascii="宋体" w:hAnsi="宋体" w:eastAsia="宋体" w:cs="宋体"/>
          <w:bCs/>
          <w:color w:val="auto"/>
          <w:sz w:val="21"/>
          <w:highlight w:val="none"/>
        </w:rPr>
        <w:t>否</w:t>
      </w:r>
    </w:p>
    <w:p w14:paraId="2B5DE62C">
      <w:pPr>
        <w:adjustRightInd w:val="0"/>
        <w:snapToGrid w:val="0"/>
        <w:spacing w:line="360" w:lineRule="auto"/>
        <w:ind w:firstLine="420" w:firstLineChars="200"/>
        <w:rPr>
          <w:rFonts w:hint="eastAsia" w:ascii="宋体" w:hAnsi="宋体" w:cs="宋体"/>
          <w:bCs/>
          <w:color w:val="auto"/>
          <w:szCs w:val="21"/>
          <w:highlight w:val="none"/>
          <w:u w:val="single"/>
        </w:rPr>
      </w:pPr>
      <w:r>
        <w:rPr>
          <w:rFonts w:hint="eastAsia" w:ascii="宋体" w:hAnsi="宋体" w:cs="宋体"/>
          <w:bCs/>
          <w:color w:val="auto"/>
          <w:szCs w:val="21"/>
          <w:highlight w:val="none"/>
        </w:rPr>
        <w:t>（8）履约验收其他事项：</w:t>
      </w:r>
      <w:r>
        <w:rPr>
          <w:rFonts w:hint="eastAsia" w:ascii="宋体" w:hAnsi="宋体" w:cs="宋体"/>
          <w:bCs/>
          <w:color w:val="auto"/>
          <w:szCs w:val="21"/>
          <w:highlight w:val="none"/>
          <w:u w:val="single"/>
        </w:rPr>
        <w:t xml:space="preserve">      （产权过户登记等）          </w:t>
      </w:r>
    </w:p>
    <w:p w14:paraId="5E83CD8E">
      <w:pPr>
        <w:numPr>
          <w:ilvl w:val="0"/>
          <w:numId w:val="4"/>
        </w:numPr>
        <w:adjustRightInd w:val="0"/>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组成合同的文件</w:t>
      </w:r>
    </w:p>
    <w:p w14:paraId="6D0857FA">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0D618A10">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（1）政府采购合同协议书及其变更、补充协议</w:t>
      </w:r>
    </w:p>
    <w:p w14:paraId="21C5A6A6">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（2）政府采购合同专用条款</w:t>
      </w:r>
    </w:p>
    <w:p w14:paraId="53D3E952">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（3）政府采购合同通用条款</w:t>
      </w:r>
    </w:p>
    <w:p w14:paraId="483F867E">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（4）中标（成交）通知书</w:t>
      </w:r>
    </w:p>
    <w:p w14:paraId="6EC9898D">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（5）投标（响应）文件</w:t>
      </w:r>
    </w:p>
    <w:p w14:paraId="24F45E52">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（6）采购文件</w:t>
      </w:r>
    </w:p>
    <w:p w14:paraId="0FFD7F11">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（7）有关技术文件，图纸</w:t>
      </w:r>
    </w:p>
    <w:p w14:paraId="065D3B06">
      <w:pPr>
        <w:pStyle w:val="21"/>
        <w:spacing w:line="360" w:lineRule="auto"/>
        <w:ind w:firstLine="420"/>
        <w:rPr>
          <w:rFonts w:hint="eastAsia" w:ascii="宋体" w:hAnsi="宋体" w:eastAsia="宋体" w:cs="宋体"/>
          <w:color w:val="auto"/>
          <w:kern w:val="2"/>
          <w:sz w:val="21"/>
          <w:highlight w:val="none"/>
        </w:rPr>
      </w:pPr>
      <w:r>
        <w:rPr>
          <w:rFonts w:hint="eastAsia" w:ascii="宋体" w:hAnsi="宋体" w:eastAsia="宋体" w:cs="宋体"/>
          <w:color w:val="auto"/>
          <w:sz w:val="21"/>
          <w:highlight w:val="none"/>
        </w:rPr>
        <w:t>（8）</w:t>
      </w:r>
      <w:r>
        <w:rPr>
          <w:rFonts w:hint="eastAsia" w:ascii="宋体" w:hAnsi="宋体" w:eastAsia="宋体" w:cs="宋体"/>
          <w:color w:val="auto"/>
          <w:kern w:val="2"/>
          <w:sz w:val="21"/>
          <w:highlight w:val="none"/>
        </w:rPr>
        <w:t>国家法律、行政法规和规章制度规定或合同约定的作为合同组成部分的其他文件</w:t>
      </w:r>
    </w:p>
    <w:p w14:paraId="6D9F5BDB">
      <w:pPr>
        <w:numPr>
          <w:ilvl w:val="0"/>
          <w:numId w:val="4"/>
        </w:numPr>
        <w:adjustRightInd w:val="0"/>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合同生效</w:t>
      </w:r>
    </w:p>
    <w:p w14:paraId="53D7BABA">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本合同自生效。</w:t>
      </w:r>
    </w:p>
    <w:p w14:paraId="579E540C">
      <w:pPr>
        <w:numPr>
          <w:ilvl w:val="0"/>
          <w:numId w:val="4"/>
        </w:numPr>
        <w:adjustRightInd w:val="0"/>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合同份数</w:t>
      </w:r>
    </w:p>
    <w:p w14:paraId="2B604BFC">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本合同一式份，甲方执份，乙方执份，均具有同等法律效力。</w:t>
      </w:r>
    </w:p>
    <w:p w14:paraId="37993FC2">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合同订立时间：年月日</w:t>
      </w:r>
    </w:p>
    <w:p w14:paraId="4C5EE061">
      <w:pPr>
        <w:adjustRightInd w:val="0"/>
        <w:snapToGrid w:val="0"/>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合同订立地点：</w:t>
      </w:r>
    </w:p>
    <w:p w14:paraId="73C41928">
      <w:pPr>
        <w:adjustRightInd w:val="0"/>
        <w:snapToGrid w:val="0"/>
        <w:spacing w:line="360" w:lineRule="auto"/>
        <w:ind w:firstLine="420" w:firstLineChars="200"/>
        <w:rPr>
          <w:rFonts w:ascii="Calibri" w:hAnsi="Calibri"/>
          <w:color w:val="auto"/>
          <w:szCs w:val="20"/>
          <w:highlight w:val="none"/>
        </w:rPr>
      </w:pPr>
      <w:r>
        <w:rPr>
          <w:rFonts w:hint="eastAsia" w:ascii="宋体" w:hAnsi="宋体"/>
          <w:color w:val="auto"/>
          <w:szCs w:val="21"/>
          <w:highlight w:val="none"/>
        </w:rPr>
        <w:t>附件：具体标的及其技术要求和商务要求、联合协议、分包意向协议等。</w:t>
      </w:r>
    </w:p>
    <w:p w14:paraId="1C8B8846">
      <w:pPr>
        <w:pStyle w:val="19"/>
        <w:spacing w:line="360" w:lineRule="auto"/>
        <w:rPr>
          <w:color w:val="auto"/>
          <w:highlight w:val="none"/>
        </w:rPr>
      </w:pPr>
    </w:p>
    <w:p w14:paraId="3D8675E2">
      <w:pPr>
        <w:spacing w:before="0" w:after="0" w:line="360" w:lineRule="auto"/>
        <w:rPr>
          <w:rFonts w:hint="eastAsia" w:ascii="宋体" w:hAnsi="宋体"/>
          <w:b/>
          <w:bCs/>
          <w:color w:val="auto"/>
          <w:szCs w:val="21"/>
          <w:highlight w:val="none"/>
        </w:rPr>
      </w:pPr>
    </w:p>
    <w:p w14:paraId="5D537248">
      <w:pPr>
        <w:spacing w:line="360" w:lineRule="auto"/>
        <w:rPr>
          <w:rFonts w:ascii="Calibri" w:hAnsi="Calibri"/>
          <w:color w:val="auto"/>
          <w:szCs w:val="20"/>
          <w:highlight w:val="none"/>
        </w:rPr>
      </w:pPr>
      <w:r>
        <w:rPr>
          <w:rFonts w:hint="eastAsia" w:ascii="Calibri" w:hAnsi="Calibri"/>
          <w:color w:val="auto"/>
          <w:szCs w:val="20"/>
          <w:highlight w:val="none"/>
        </w:rPr>
        <w:br w:type="page"/>
      </w:r>
    </w:p>
    <w:p w14:paraId="7559A00E">
      <w:pPr>
        <w:pStyle w:val="19"/>
        <w:spacing w:line="360" w:lineRule="auto"/>
        <w:rPr>
          <w:color w:val="auto"/>
          <w:highlight w:val="none"/>
        </w:rPr>
      </w:pPr>
    </w:p>
    <w:tbl>
      <w:tblPr>
        <w:tblStyle w:val="12"/>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6A49FA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42A46501">
            <w:pPr>
              <w:adjustRightInd w:val="0"/>
              <w:snapToGrid w:val="0"/>
              <w:spacing w:line="360" w:lineRule="auto"/>
              <w:jc w:val="center"/>
              <w:rPr>
                <w:rFonts w:ascii="Calibri" w:hAnsi="Calibri"/>
                <w:color w:val="auto"/>
                <w:szCs w:val="20"/>
                <w:highlight w:val="none"/>
              </w:rPr>
            </w:pPr>
            <w:r>
              <w:rPr>
                <w:rFonts w:ascii="Calibri" w:hAnsi="Calibri"/>
                <w:color w:val="auto"/>
                <w:szCs w:val="21"/>
                <w:highlight w:val="none"/>
              </w:rPr>
              <w:t>甲方</w:t>
            </w:r>
            <w:r>
              <w:rPr>
                <w:rFonts w:hint="eastAsia" w:ascii="Calibri" w:hAnsi="Calibri"/>
                <w:color w:val="auto"/>
                <w:szCs w:val="21"/>
                <w:highlight w:val="none"/>
              </w:rPr>
              <w:t>（采购人</w:t>
            </w:r>
            <w:r>
              <w:rPr>
                <w:rFonts w:hint="eastAsia" w:ascii="宋体" w:hAnsi="宋体"/>
                <w:color w:val="auto"/>
                <w:szCs w:val="21"/>
                <w:highlight w:val="none"/>
              </w:rPr>
              <w:t>、受采购人委托签订合同的单位或</w:t>
            </w:r>
            <w:r>
              <w:rPr>
                <w:rFonts w:hint="eastAsia" w:ascii="Calibri" w:hAnsi="Calibri"/>
                <w:color w:val="auto"/>
                <w:szCs w:val="21"/>
                <w:highlight w:val="none"/>
              </w:rPr>
              <w:t>采购文件约定的合同甲方）</w:t>
            </w:r>
          </w:p>
        </w:tc>
        <w:tc>
          <w:tcPr>
            <w:tcW w:w="2437" w:type="pct"/>
            <w:gridSpan w:val="2"/>
            <w:tcBorders>
              <w:left w:val="single" w:color="auto" w:sz="2" w:space="0"/>
              <w:bottom w:val="single" w:color="auto" w:sz="2" w:space="0"/>
            </w:tcBorders>
            <w:vAlign w:val="center"/>
          </w:tcPr>
          <w:p w14:paraId="1FE452F1">
            <w:pPr>
              <w:adjustRightInd w:val="0"/>
              <w:snapToGrid w:val="0"/>
              <w:spacing w:line="360" w:lineRule="auto"/>
              <w:jc w:val="center"/>
              <w:rPr>
                <w:rFonts w:ascii="Calibri" w:hAnsi="Calibri"/>
                <w:color w:val="auto"/>
                <w:szCs w:val="20"/>
                <w:highlight w:val="none"/>
              </w:rPr>
            </w:pPr>
            <w:r>
              <w:rPr>
                <w:rFonts w:ascii="Calibri" w:hAnsi="Calibri"/>
                <w:color w:val="auto"/>
                <w:szCs w:val="21"/>
                <w:highlight w:val="none"/>
              </w:rPr>
              <w:t>乙方</w:t>
            </w:r>
            <w:r>
              <w:rPr>
                <w:rFonts w:hint="eastAsia" w:ascii="Calibri" w:hAnsi="Calibri"/>
                <w:color w:val="auto"/>
                <w:szCs w:val="21"/>
                <w:highlight w:val="none"/>
              </w:rPr>
              <w:t>（供应商）</w:t>
            </w:r>
          </w:p>
        </w:tc>
      </w:tr>
      <w:tr w14:paraId="0FBB70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252617D">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单位名称</w:t>
            </w:r>
            <w:r>
              <w:rPr>
                <w:rFonts w:hint="eastAsia" w:ascii="Calibri" w:hAnsi="Calibri"/>
                <w:color w:val="auto"/>
                <w:szCs w:val="21"/>
                <w:highlight w:val="none"/>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F6F07B8">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4826E87">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单位名称</w:t>
            </w:r>
            <w:r>
              <w:rPr>
                <w:rFonts w:hint="eastAsia" w:ascii="Calibri" w:hAnsi="Calibri"/>
                <w:color w:val="auto"/>
                <w:szCs w:val="21"/>
                <w:highlight w:val="none"/>
              </w:rPr>
              <w:t>（公章或合同章）</w:t>
            </w:r>
          </w:p>
        </w:tc>
        <w:tc>
          <w:tcPr>
            <w:tcW w:w="1259" w:type="pct"/>
            <w:tcBorders>
              <w:top w:val="single" w:color="auto" w:sz="2" w:space="0"/>
              <w:left w:val="single" w:color="auto" w:sz="2" w:space="0"/>
              <w:bottom w:val="single" w:color="auto" w:sz="2" w:space="0"/>
            </w:tcBorders>
            <w:vAlign w:val="center"/>
          </w:tcPr>
          <w:p w14:paraId="387382C6">
            <w:pPr>
              <w:adjustRightInd w:val="0"/>
              <w:snapToGrid w:val="0"/>
              <w:spacing w:line="360" w:lineRule="auto"/>
              <w:jc w:val="center"/>
              <w:rPr>
                <w:rFonts w:ascii="Calibri" w:hAnsi="Calibri"/>
                <w:color w:val="auto"/>
                <w:spacing w:val="20"/>
                <w:szCs w:val="21"/>
                <w:highlight w:val="none"/>
              </w:rPr>
            </w:pPr>
          </w:p>
        </w:tc>
      </w:tr>
      <w:tr w14:paraId="4BC2F3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322ADED">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法定代表人</w:t>
            </w:r>
          </w:p>
          <w:p w14:paraId="624E9C25">
            <w:pPr>
              <w:adjustRightInd w:val="0"/>
              <w:snapToGrid w:val="0"/>
              <w:spacing w:line="360" w:lineRule="auto"/>
              <w:ind w:firstLine="100" w:firstLineChars="48"/>
              <w:jc w:val="center"/>
              <w:rPr>
                <w:rFonts w:ascii="Calibri" w:hAnsi="Calibri"/>
                <w:color w:val="auto"/>
                <w:szCs w:val="21"/>
                <w:highlight w:val="none"/>
              </w:rPr>
            </w:pPr>
            <w:r>
              <w:rPr>
                <w:rFonts w:hint="eastAsia" w:ascii="Calibri" w:hAnsi="Calibri"/>
                <w:color w:val="auto"/>
                <w:szCs w:val="21"/>
                <w:highlight w:val="none"/>
              </w:rPr>
              <w:t>或其</w:t>
            </w:r>
            <w:r>
              <w:rPr>
                <w:rFonts w:ascii="Calibri" w:hAnsi="Calibri"/>
                <w:color w:val="auto"/>
                <w:szCs w:val="21"/>
                <w:highlight w:val="none"/>
              </w:rPr>
              <w:t>委托代理人</w:t>
            </w:r>
            <w:r>
              <w:rPr>
                <w:rFonts w:hint="eastAsia" w:ascii="Calibri" w:hAnsi="Calibri"/>
                <w:color w:val="auto"/>
                <w:szCs w:val="21"/>
                <w:highlight w:val="none"/>
              </w:rPr>
              <w:t>（签章）</w:t>
            </w:r>
          </w:p>
        </w:tc>
        <w:tc>
          <w:tcPr>
            <w:tcW w:w="1436" w:type="pct"/>
            <w:vMerge w:val="restart"/>
            <w:tcBorders>
              <w:top w:val="single" w:color="auto" w:sz="2" w:space="0"/>
              <w:left w:val="single" w:color="auto" w:sz="2" w:space="0"/>
              <w:right w:val="single" w:color="auto" w:sz="2" w:space="0"/>
            </w:tcBorders>
            <w:vAlign w:val="center"/>
          </w:tcPr>
          <w:p w14:paraId="334195EF">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right w:val="single" w:color="auto" w:sz="2" w:space="0"/>
            </w:tcBorders>
            <w:vAlign w:val="center"/>
          </w:tcPr>
          <w:p w14:paraId="10498BF9">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法定代表人</w:t>
            </w:r>
          </w:p>
          <w:p w14:paraId="76B86D83">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或其</w:t>
            </w:r>
            <w:r>
              <w:rPr>
                <w:rFonts w:ascii="Calibri" w:hAnsi="Calibri"/>
                <w:color w:val="auto"/>
                <w:szCs w:val="21"/>
                <w:highlight w:val="none"/>
              </w:rPr>
              <w:t>委托代理人</w:t>
            </w:r>
            <w:r>
              <w:rPr>
                <w:rFonts w:hint="eastAsia" w:ascii="Calibri" w:hAnsi="Calibri"/>
                <w:color w:val="auto"/>
                <w:szCs w:val="21"/>
                <w:highlight w:val="none"/>
              </w:rPr>
              <w:t>（签章）</w:t>
            </w:r>
          </w:p>
        </w:tc>
        <w:tc>
          <w:tcPr>
            <w:tcW w:w="1259" w:type="pct"/>
            <w:tcBorders>
              <w:top w:val="single" w:color="auto" w:sz="2" w:space="0"/>
              <w:left w:val="single" w:color="auto" w:sz="2" w:space="0"/>
              <w:bottom w:val="single" w:color="auto" w:sz="2" w:space="0"/>
            </w:tcBorders>
            <w:vAlign w:val="center"/>
          </w:tcPr>
          <w:p w14:paraId="46ED1A8E">
            <w:pPr>
              <w:adjustRightInd w:val="0"/>
              <w:snapToGrid w:val="0"/>
              <w:spacing w:line="360" w:lineRule="auto"/>
              <w:jc w:val="center"/>
              <w:rPr>
                <w:rFonts w:ascii="Calibri" w:hAnsi="Calibri"/>
                <w:color w:val="auto"/>
                <w:szCs w:val="21"/>
                <w:highlight w:val="none"/>
              </w:rPr>
            </w:pPr>
          </w:p>
        </w:tc>
      </w:tr>
      <w:tr w14:paraId="2774EDD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7FD8C348">
            <w:pPr>
              <w:adjustRightInd w:val="0"/>
              <w:snapToGrid w:val="0"/>
              <w:spacing w:line="360" w:lineRule="auto"/>
              <w:jc w:val="center"/>
              <w:rPr>
                <w:rFonts w:ascii="Calibri" w:hAnsi="Calibri"/>
                <w:color w:val="auto"/>
                <w:szCs w:val="21"/>
                <w:highlight w:val="none"/>
              </w:rPr>
            </w:pPr>
          </w:p>
        </w:tc>
        <w:tc>
          <w:tcPr>
            <w:tcW w:w="1436" w:type="pct"/>
            <w:vMerge w:val="continue"/>
            <w:tcBorders>
              <w:left w:val="single" w:color="auto" w:sz="2" w:space="0"/>
              <w:bottom w:val="single" w:color="auto" w:sz="2" w:space="0"/>
              <w:right w:val="single" w:color="auto" w:sz="2" w:space="0"/>
            </w:tcBorders>
            <w:vAlign w:val="center"/>
          </w:tcPr>
          <w:p w14:paraId="02A8A8E6">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A7C919F">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拥有者性别</w:t>
            </w:r>
          </w:p>
        </w:tc>
        <w:tc>
          <w:tcPr>
            <w:tcW w:w="1259" w:type="pct"/>
            <w:tcBorders>
              <w:top w:val="single" w:color="auto" w:sz="2" w:space="0"/>
              <w:left w:val="single" w:color="auto" w:sz="2" w:space="0"/>
              <w:bottom w:val="single" w:color="auto" w:sz="2" w:space="0"/>
            </w:tcBorders>
            <w:vAlign w:val="center"/>
          </w:tcPr>
          <w:p w14:paraId="5079B721">
            <w:pPr>
              <w:adjustRightInd w:val="0"/>
              <w:snapToGrid w:val="0"/>
              <w:spacing w:line="360" w:lineRule="auto"/>
              <w:jc w:val="center"/>
              <w:rPr>
                <w:rFonts w:ascii="Calibri" w:hAnsi="Calibri"/>
                <w:color w:val="auto"/>
                <w:spacing w:val="20"/>
                <w:szCs w:val="21"/>
                <w:highlight w:val="none"/>
              </w:rPr>
            </w:pPr>
          </w:p>
        </w:tc>
      </w:tr>
      <w:tr w14:paraId="6FC366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A53300">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住所</w:t>
            </w:r>
          </w:p>
        </w:tc>
        <w:tc>
          <w:tcPr>
            <w:tcW w:w="1436" w:type="pct"/>
            <w:tcBorders>
              <w:top w:val="single" w:color="auto" w:sz="2" w:space="0"/>
              <w:left w:val="single" w:color="auto" w:sz="2" w:space="0"/>
              <w:bottom w:val="single" w:color="auto" w:sz="2" w:space="0"/>
              <w:right w:val="single" w:color="auto" w:sz="2" w:space="0"/>
            </w:tcBorders>
            <w:vAlign w:val="center"/>
          </w:tcPr>
          <w:p w14:paraId="4F299D46">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23983D2">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住所</w:t>
            </w:r>
          </w:p>
        </w:tc>
        <w:tc>
          <w:tcPr>
            <w:tcW w:w="1259" w:type="pct"/>
            <w:tcBorders>
              <w:top w:val="single" w:color="auto" w:sz="2" w:space="0"/>
              <w:left w:val="single" w:color="auto" w:sz="2" w:space="0"/>
              <w:bottom w:val="single" w:color="auto" w:sz="2" w:space="0"/>
            </w:tcBorders>
            <w:vAlign w:val="center"/>
          </w:tcPr>
          <w:p w14:paraId="1C366F9F">
            <w:pPr>
              <w:adjustRightInd w:val="0"/>
              <w:snapToGrid w:val="0"/>
              <w:spacing w:line="360" w:lineRule="auto"/>
              <w:jc w:val="center"/>
              <w:rPr>
                <w:rFonts w:ascii="Calibri" w:hAnsi="Calibri"/>
                <w:color w:val="auto"/>
                <w:spacing w:val="20"/>
                <w:szCs w:val="21"/>
                <w:highlight w:val="none"/>
              </w:rPr>
            </w:pPr>
          </w:p>
        </w:tc>
      </w:tr>
      <w:tr w14:paraId="1D2129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BB8BC4">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联系人</w:t>
            </w:r>
          </w:p>
        </w:tc>
        <w:tc>
          <w:tcPr>
            <w:tcW w:w="1436" w:type="pct"/>
            <w:tcBorders>
              <w:top w:val="single" w:color="auto" w:sz="2" w:space="0"/>
              <w:left w:val="single" w:color="auto" w:sz="2" w:space="0"/>
              <w:bottom w:val="single" w:color="auto" w:sz="2" w:space="0"/>
              <w:right w:val="single" w:color="auto" w:sz="2" w:space="0"/>
            </w:tcBorders>
            <w:vAlign w:val="center"/>
          </w:tcPr>
          <w:p w14:paraId="22D5C3FC">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734CAB5">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联系人</w:t>
            </w:r>
          </w:p>
        </w:tc>
        <w:tc>
          <w:tcPr>
            <w:tcW w:w="1259" w:type="pct"/>
            <w:tcBorders>
              <w:top w:val="single" w:color="auto" w:sz="2" w:space="0"/>
              <w:left w:val="single" w:color="auto" w:sz="2" w:space="0"/>
              <w:bottom w:val="single" w:color="auto" w:sz="2" w:space="0"/>
            </w:tcBorders>
            <w:vAlign w:val="center"/>
          </w:tcPr>
          <w:p w14:paraId="2DA4140E">
            <w:pPr>
              <w:adjustRightInd w:val="0"/>
              <w:snapToGrid w:val="0"/>
              <w:spacing w:line="360" w:lineRule="auto"/>
              <w:jc w:val="center"/>
              <w:rPr>
                <w:rFonts w:ascii="Calibri" w:hAnsi="Calibri"/>
                <w:color w:val="auto"/>
                <w:spacing w:val="20"/>
                <w:szCs w:val="21"/>
                <w:highlight w:val="none"/>
              </w:rPr>
            </w:pPr>
          </w:p>
        </w:tc>
      </w:tr>
      <w:tr w14:paraId="1D37FB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45F7E9E">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FD9C639">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0F18A5">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联系电话</w:t>
            </w:r>
          </w:p>
        </w:tc>
        <w:tc>
          <w:tcPr>
            <w:tcW w:w="1259" w:type="pct"/>
            <w:tcBorders>
              <w:top w:val="single" w:color="auto" w:sz="2" w:space="0"/>
              <w:left w:val="single" w:color="auto" w:sz="2" w:space="0"/>
              <w:bottom w:val="single" w:color="auto" w:sz="2" w:space="0"/>
            </w:tcBorders>
            <w:vAlign w:val="center"/>
          </w:tcPr>
          <w:p w14:paraId="10F1CA3F">
            <w:pPr>
              <w:adjustRightInd w:val="0"/>
              <w:snapToGrid w:val="0"/>
              <w:spacing w:line="360" w:lineRule="auto"/>
              <w:jc w:val="center"/>
              <w:rPr>
                <w:rFonts w:ascii="Calibri" w:hAnsi="Calibri"/>
                <w:color w:val="auto"/>
                <w:spacing w:val="20"/>
                <w:szCs w:val="21"/>
                <w:highlight w:val="none"/>
              </w:rPr>
            </w:pPr>
          </w:p>
        </w:tc>
      </w:tr>
      <w:tr w14:paraId="0270375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EC465A">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A29F296">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50E1AB6">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通信地址</w:t>
            </w:r>
          </w:p>
        </w:tc>
        <w:tc>
          <w:tcPr>
            <w:tcW w:w="1259" w:type="pct"/>
            <w:tcBorders>
              <w:top w:val="single" w:color="auto" w:sz="2" w:space="0"/>
              <w:left w:val="single" w:color="auto" w:sz="2" w:space="0"/>
              <w:bottom w:val="single" w:color="auto" w:sz="2" w:space="0"/>
            </w:tcBorders>
            <w:vAlign w:val="center"/>
          </w:tcPr>
          <w:p w14:paraId="114E473A">
            <w:pPr>
              <w:adjustRightInd w:val="0"/>
              <w:snapToGrid w:val="0"/>
              <w:spacing w:line="360" w:lineRule="auto"/>
              <w:jc w:val="center"/>
              <w:rPr>
                <w:rFonts w:ascii="Calibri" w:hAnsi="Calibri"/>
                <w:color w:val="auto"/>
                <w:spacing w:val="20"/>
                <w:szCs w:val="21"/>
                <w:highlight w:val="none"/>
              </w:rPr>
            </w:pPr>
          </w:p>
        </w:tc>
      </w:tr>
      <w:tr w14:paraId="192EAD6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vAlign w:val="center"/>
          </w:tcPr>
          <w:p w14:paraId="3D68E7A4">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60655B1">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8500DB1">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邮政编码</w:t>
            </w:r>
          </w:p>
        </w:tc>
        <w:tc>
          <w:tcPr>
            <w:tcW w:w="1259" w:type="pct"/>
            <w:tcBorders>
              <w:top w:val="single" w:color="auto" w:sz="2" w:space="0"/>
              <w:left w:val="single" w:color="auto" w:sz="2" w:space="0"/>
              <w:bottom w:val="single" w:color="auto" w:sz="2" w:space="0"/>
            </w:tcBorders>
            <w:vAlign w:val="center"/>
          </w:tcPr>
          <w:p w14:paraId="55E9C8CE">
            <w:pPr>
              <w:adjustRightInd w:val="0"/>
              <w:snapToGrid w:val="0"/>
              <w:spacing w:line="360" w:lineRule="auto"/>
              <w:jc w:val="center"/>
              <w:rPr>
                <w:rFonts w:ascii="Calibri" w:hAnsi="Calibri"/>
                <w:color w:val="auto"/>
                <w:spacing w:val="20"/>
                <w:szCs w:val="21"/>
                <w:highlight w:val="none"/>
              </w:rPr>
            </w:pPr>
          </w:p>
        </w:tc>
      </w:tr>
      <w:tr w14:paraId="4115C19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C7DF285">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7C7418A">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89CBF15">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电子邮箱</w:t>
            </w:r>
          </w:p>
        </w:tc>
        <w:tc>
          <w:tcPr>
            <w:tcW w:w="1259" w:type="pct"/>
            <w:tcBorders>
              <w:top w:val="single" w:color="auto" w:sz="2" w:space="0"/>
              <w:left w:val="single" w:color="auto" w:sz="2" w:space="0"/>
              <w:bottom w:val="single" w:color="auto" w:sz="2" w:space="0"/>
            </w:tcBorders>
            <w:vAlign w:val="center"/>
          </w:tcPr>
          <w:p w14:paraId="74EF5A5E">
            <w:pPr>
              <w:adjustRightInd w:val="0"/>
              <w:snapToGrid w:val="0"/>
              <w:spacing w:line="360" w:lineRule="auto"/>
              <w:jc w:val="center"/>
              <w:rPr>
                <w:rFonts w:ascii="Calibri" w:hAnsi="Calibri"/>
                <w:color w:val="auto"/>
                <w:spacing w:val="20"/>
                <w:szCs w:val="21"/>
                <w:highlight w:val="none"/>
              </w:rPr>
            </w:pPr>
          </w:p>
        </w:tc>
      </w:tr>
      <w:tr w14:paraId="794BD34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895CD8">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7B67B26">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EE3EFA9">
            <w:pPr>
              <w:adjustRightInd w:val="0"/>
              <w:snapToGrid w:val="0"/>
              <w:spacing w:line="360" w:lineRule="auto"/>
              <w:jc w:val="center"/>
              <w:rPr>
                <w:rFonts w:ascii="Calibri" w:hAnsi="Calibri"/>
                <w:color w:val="auto"/>
                <w:szCs w:val="21"/>
                <w:highlight w:val="none"/>
              </w:rPr>
            </w:pPr>
            <w:r>
              <w:rPr>
                <w:rFonts w:hint="eastAsia" w:ascii="Calibri" w:hAnsi="Calibri"/>
                <w:color w:val="auto"/>
                <w:szCs w:val="21"/>
                <w:highlight w:val="none"/>
              </w:rPr>
              <w:t>统一社会信用代码</w:t>
            </w:r>
          </w:p>
        </w:tc>
        <w:tc>
          <w:tcPr>
            <w:tcW w:w="1259" w:type="pct"/>
            <w:tcBorders>
              <w:top w:val="single" w:color="auto" w:sz="2" w:space="0"/>
              <w:left w:val="single" w:color="auto" w:sz="2" w:space="0"/>
              <w:bottom w:val="single" w:color="auto" w:sz="2" w:space="0"/>
            </w:tcBorders>
            <w:vAlign w:val="center"/>
          </w:tcPr>
          <w:p w14:paraId="5A512E8A">
            <w:pPr>
              <w:adjustRightInd w:val="0"/>
              <w:snapToGrid w:val="0"/>
              <w:spacing w:line="360" w:lineRule="auto"/>
              <w:jc w:val="center"/>
              <w:rPr>
                <w:rFonts w:ascii="Calibri" w:hAnsi="Calibri"/>
                <w:color w:val="auto"/>
                <w:spacing w:val="20"/>
                <w:szCs w:val="21"/>
                <w:highlight w:val="none"/>
              </w:rPr>
            </w:pPr>
          </w:p>
        </w:tc>
      </w:tr>
      <w:tr w14:paraId="0318F3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9715E4">
            <w:pPr>
              <w:adjustRightInd w:val="0"/>
              <w:snapToGrid w:val="0"/>
              <w:spacing w:line="360" w:lineRule="auto"/>
              <w:jc w:val="center"/>
              <w:rPr>
                <w:rFonts w:ascii="Calibri" w:hAnsi="Calibri"/>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54E045DD">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A8C5ED4">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开户名称</w:t>
            </w:r>
          </w:p>
        </w:tc>
        <w:tc>
          <w:tcPr>
            <w:tcW w:w="1259" w:type="pct"/>
            <w:tcBorders>
              <w:top w:val="single" w:color="auto" w:sz="2" w:space="0"/>
              <w:left w:val="single" w:color="auto" w:sz="2" w:space="0"/>
              <w:bottom w:val="single" w:color="auto" w:sz="2" w:space="0"/>
            </w:tcBorders>
            <w:vAlign w:val="center"/>
          </w:tcPr>
          <w:p w14:paraId="45A346A0">
            <w:pPr>
              <w:adjustRightInd w:val="0"/>
              <w:snapToGrid w:val="0"/>
              <w:spacing w:line="360" w:lineRule="auto"/>
              <w:jc w:val="center"/>
              <w:rPr>
                <w:rFonts w:ascii="Calibri" w:hAnsi="Calibri"/>
                <w:color w:val="auto"/>
                <w:spacing w:val="20"/>
                <w:szCs w:val="21"/>
                <w:highlight w:val="none"/>
              </w:rPr>
            </w:pPr>
          </w:p>
        </w:tc>
      </w:tr>
      <w:tr w14:paraId="73A369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4F6155">
            <w:pPr>
              <w:adjustRightInd w:val="0"/>
              <w:snapToGrid w:val="0"/>
              <w:spacing w:line="360" w:lineRule="auto"/>
              <w:jc w:val="center"/>
              <w:rPr>
                <w:rFonts w:ascii="Calibri" w:hAnsi="Calibri"/>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9A6C3AC">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791DBA28">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开户银行</w:t>
            </w:r>
          </w:p>
        </w:tc>
        <w:tc>
          <w:tcPr>
            <w:tcW w:w="1259" w:type="pct"/>
            <w:tcBorders>
              <w:top w:val="single" w:color="auto" w:sz="2" w:space="0"/>
              <w:left w:val="single" w:color="auto" w:sz="2" w:space="0"/>
              <w:bottom w:val="single" w:color="auto" w:sz="2" w:space="0"/>
            </w:tcBorders>
            <w:vAlign w:val="center"/>
          </w:tcPr>
          <w:p w14:paraId="2456330C">
            <w:pPr>
              <w:adjustRightInd w:val="0"/>
              <w:snapToGrid w:val="0"/>
              <w:spacing w:line="360" w:lineRule="auto"/>
              <w:jc w:val="center"/>
              <w:rPr>
                <w:rFonts w:ascii="Calibri" w:hAnsi="Calibri"/>
                <w:color w:val="auto"/>
                <w:spacing w:val="20"/>
                <w:szCs w:val="21"/>
                <w:highlight w:val="none"/>
              </w:rPr>
            </w:pPr>
          </w:p>
        </w:tc>
      </w:tr>
      <w:tr w14:paraId="039EAF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946BF3B">
            <w:pPr>
              <w:adjustRightInd w:val="0"/>
              <w:snapToGrid w:val="0"/>
              <w:spacing w:line="360" w:lineRule="auto"/>
              <w:jc w:val="center"/>
              <w:rPr>
                <w:rFonts w:ascii="Calibri" w:hAnsi="Calibri"/>
                <w:color w:val="auto"/>
                <w:szCs w:val="21"/>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2ECA3E74">
            <w:pPr>
              <w:adjustRightInd w:val="0"/>
              <w:snapToGrid w:val="0"/>
              <w:spacing w:line="360" w:lineRule="auto"/>
              <w:jc w:val="center"/>
              <w:rPr>
                <w:rFonts w:ascii="Calibri" w:hAnsi="Calibri"/>
                <w:color w:val="auto"/>
                <w:szCs w:val="21"/>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1806338">
            <w:pPr>
              <w:adjustRightInd w:val="0"/>
              <w:snapToGrid w:val="0"/>
              <w:spacing w:line="360" w:lineRule="auto"/>
              <w:jc w:val="center"/>
              <w:rPr>
                <w:rFonts w:ascii="Calibri" w:hAnsi="Calibri"/>
                <w:color w:val="auto"/>
                <w:szCs w:val="21"/>
                <w:highlight w:val="none"/>
              </w:rPr>
            </w:pPr>
            <w:r>
              <w:rPr>
                <w:rFonts w:ascii="Calibri" w:hAnsi="Calibri"/>
                <w:color w:val="auto"/>
                <w:szCs w:val="21"/>
                <w:highlight w:val="none"/>
              </w:rPr>
              <w:t>银行账号</w:t>
            </w:r>
          </w:p>
        </w:tc>
        <w:tc>
          <w:tcPr>
            <w:tcW w:w="1259" w:type="pct"/>
            <w:tcBorders>
              <w:top w:val="single" w:color="auto" w:sz="2" w:space="0"/>
              <w:left w:val="single" w:color="auto" w:sz="2" w:space="0"/>
              <w:bottom w:val="single" w:color="auto" w:sz="2" w:space="0"/>
            </w:tcBorders>
            <w:vAlign w:val="center"/>
          </w:tcPr>
          <w:p w14:paraId="48060B6D">
            <w:pPr>
              <w:adjustRightInd w:val="0"/>
              <w:snapToGrid w:val="0"/>
              <w:spacing w:line="360" w:lineRule="auto"/>
              <w:jc w:val="center"/>
              <w:rPr>
                <w:rFonts w:ascii="Calibri" w:hAnsi="Calibri"/>
                <w:color w:val="auto"/>
                <w:spacing w:val="20"/>
                <w:szCs w:val="21"/>
                <w:highlight w:val="none"/>
              </w:rPr>
            </w:pPr>
          </w:p>
        </w:tc>
      </w:tr>
      <w:tr w14:paraId="1C3EF8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586" w:hRule="atLeast"/>
        </w:trPr>
        <w:tc>
          <w:tcPr>
            <w:tcW w:w="5000" w:type="pct"/>
            <w:gridSpan w:val="4"/>
            <w:tcBorders>
              <w:top w:val="single" w:color="auto" w:sz="2" w:space="0"/>
            </w:tcBorders>
            <w:vAlign w:val="center"/>
          </w:tcPr>
          <w:p w14:paraId="5FBA3B9F">
            <w:pPr>
              <w:adjustRightInd w:val="0"/>
              <w:snapToGrid w:val="0"/>
              <w:spacing w:line="360" w:lineRule="auto"/>
              <w:jc w:val="left"/>
              <w:rPr>
                <w:rFonts w:ascii="Calibri" w:hAnsi="Calibri"/>
                <w:color w:val="auto"/>
                <w:spacing w:val="20"/>
                <w:szCs w:val="21"/>
                <w:highlight w:val="none"/>
              </w:rPr>
            </w:pPr>
            <w:r>
              <w:rPr>
                <w:rFonts w:hint="eastAsia" w:ascii="宋体" w:hAnsi="宋体"/>
                <w:color w:val="auto"/>
                <w:szCs w:val="21"/>
                <w:highlight w:val="none"/>
              </w:rPr>
              <w:t>注：涉及联合体或其他合同主体的信息应按上表格式加列。</w:t>
            </w:r>
          </w:p>
        </w:tc>
      </w:tr>
    </w:tbl>
    <w:p w14:paraId="22100088">
      <w:pPr>
        <w:pStyle w:val="2"/>
        <w:adjustRightInd w:val="0"/>
        <w:snapToGrid w:val="0"/>
        <w:spacing w:before="0" w:after="0" w:line="360" w:lineRule="auto"/>
        <w:jc w:val="center"/>
        <w:rPr>
          <w:rFonts w:hint="eastAsia" w:ascii="黑体" w:hAnsi="黑体"/>
          <w:color w:val="auto"/>
          <w:sz w:val="28"/>
          <w:szCs w:val="28"/>
          <w:highlight w:val="none"/>
        </w:rPr>
      </w:pPr>
      <w:r>
        <w:rPr>
          <w:rFonts w:ascii="宋体" w:hAnsi="宋体"/>
          <w:color w:val="auto"/>
          <w:sz w:val="21"/>
          <w:szCs w:val="21"/>
          <w:highlight w:val="none"/>
          <w:u w:val="single"/>
        </w:rPr>
        <w:br w:type="page"/>
      </w:r>
      <w:bookmarkStart w:id="3" w:name="_Toc27624"/>
      <w:r>
        <w:rPr>
          <w:rFonts w:hint="eastAsia" w:ascii="黑体" w:hAnsi="黑体"/>
          <w:b w:val="0"/>
          <w:bCs w:val="0"/>
          <w:color w:val="auto"/>
          <w:sz w:val="28"/>
          <w:szCs w:val="28"/>
          <w:highlight w:val="none"/>
        </w:rPr>
        <w:t>第二节 政府采购合同通用条款</w:t>
      </w:r>
      <w:bookmarkEnd w:id="3"/>
    </w:p>
    <w:p w14:paraId="3A2949A9">
      <w:pPr>
        <w:tabs>
          <w:tab w:val="left" w:pos="8820"/>
          <w:tab w:val="left" w:pos="9345"/>
          <w:tab w:val="left" w:pos="9765"/>
        </w:tabs>
        <w:adjustRightInd w:val="0"/>
        <w:snapToGrid w:val="0"/>
        <w:spacing w:line="360" w:lineRule="auto"/>
        <w:jc w:val="left"/>
        <w:rPr>
          <w:rFonts w:hint="eastAsia" w:ascii="宋体" w:hAnsi="宋体"/>
          <w:b/>
          <w:bCs/>
          <w:color w:val="auto"/>
          <w:sz w:val="24"/>
          <w:szCs w:val="20"/>
          <w:highlight w:val="none"/>
        </w:rPr>
      </w:pPr>
      <w:r>
        <w:rPr>
          <w:rFonts w:hint="eastAsia" w:ascii="宋体" w:hAnsi="宋体"/>
          <w:b/>
          <w:color w:val="auto"/>
          <w:sz w:val="24"/>
          <w:szCs w:val="20"/>
          <w:highlight w:val="none"/>
        </w:rPr>
        <w:t xml:space="preserve">1. </w:t>
      </w:r>
      <w:r>
        <w:rPr>
          <w:rFonts w:hint="eastAsia" w:ascii="宋体" w:hAnsi="宋体"/>
          <w:b/>
          <w:bCs/>
          <w:color w:val="auto"/>
          <w:sz w:val="24"/>
          <w:szCs w:val="20"/>
          <w:highlight w:val="none"/>
        </w:rPr>
        <w:t>定义</w:t>
      </w:r>
    </w:p>
    <w:p w14:paraId="349CE3C5">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1.1合同当事人</w:t>
      </w:r>
    </w:p>
    <w:p w14:paraId="36358FC4">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（1）采购人（以下称甲方）是指使用财政性资金，通过政府采购方式向供应商购买货物及其相关服务的国家机关、事业单位、团体组织。</w:t>
      </w:r>
    </w:p>
    <w:p w14:paraId="5C539E08">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（2）供应商（以下称乙方）是指参加政府采购活动并且中标（成交），向采购人提供合同约定的货物及其相关服务的法人、非法人组织或者自然人。</w:t>
      </w:r>
    </w:p>
    <w:p w14:paraId="032A31DA">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cs="宋体"/>
          <w:bCs/>
          <w:color w:val="auto"/>
          <w:szCs w:val="21"/>
          <w:highlight w:val="none"/>
        </w:rPr>
        <w:t>依法参与合同缔结或履行，享有权利、承担义务的合同当事人</w:t>
      </w:r>
      <w:r>
        <w:rPr>
          <w:rFonts w:hint="eastAsia" w:ascii="宋体" w:hAnsi="宋体"/>
          <w:color w:val="auto"/>
          <w:szCs w:val="21"/>
          <w:highlight w:val="none"/>
        </w:rPr>
        <w:t>。</w:t>
      </w:r>
    </w:p>
    <w:p w14:paraId="017AC80B">
      <w:pPr>
        <w:tabs>
          <w:tab w:val="left" w:pos="570"/>
          <w:tab w:val="left" w:pos="9240"/>
          <w:tab w:val="left" w:pos="9555"/>
        </w:tabs>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1.2本合同下列术语应解释为：</w:t>
      </w:r>
    </w:p>
    <w:p w14:paraId="6FA6BD36">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（1）“合同”系指</w:t>
      </w:r>
      <w:r>
        <w:rPr>
          <w:rFonts w:hint="eastAsia" w:ascii="宋体" w:hAnsi="宋体" w:cs="宋体"/>
          <w:bCs/>
          <w:color w:val="auto"/>
          <w:szCs w:val="21"/>
          <w:highlight w:val="none"/>
        </w:rPr>
        <w:t>合同当事人意思表示达成一致的任何协议，包括签署的</w:t>
      </w:r>
      <w:r>
        <w:rPr>
          <w:rFonts w:hint="eastAsia" w:ascii="宋体" w:hAnsi="宋体"/>
          <w:color w:val="auto"/>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highlight w:val="none"/>
        </w:rPr>
        <w:t>国家法律、行政法规和规章制度规定或合同约定的作为合同组成部分的其他文件</w:t>
      </w:r>
      <w:r>
        <w:rPr>
          <w:rFonts w:hint="eastAsia" w:ascii="宋体" w:hAnsi="宋体"/>
          <w:color w:val="auto"/>
          <w:szCs w:val="21"/>
          <w:highlight w:val="none"/>
        </w:rPr>
        <w:t>。</w:t>
      </w:r>
    </w:p>
    <w:p w14:paraId="639023E1">
      <w:pPr>
        <w:tabs>
          <w:tab w:val="left" w:pos="570"/>
          <w:tab w:val="left" w:pos="9240"/>
          <w:tab w:val="left" w:pos="9555"/>
        </w:tabs>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（2）“合同价款”系指根据本合同规定乙方在全面履行合同义务后甲方应支付给乙方的价款。</w:t>
      </w:r>
    </w:p>
    <w:p w14:paraId="39B32AAE">
      <w:pPr>
        <w:tabs>
          <w:tab w:val="left" w:pos="570"/>
          <w:tab w:val="left" w:pos="9240"/>
          <w:tab w:val="left" w:pos="9555"/>
        </w:tabs>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（3）“货物”系指乙方根据本合同规定须向甲方提供的各种形态和种类的物品，包括原材料、设备、产品（</w:t>
      </w:r>
      <w:r>
        <w:rPr>
          <w:rFonts w:hint="eastAsia" w:ascii="宋体" w:hAnsi="宋体"/>
          <w:color w:val="auto"/>
          <w:szCs w:val="21"/>
          <w:highlight w:val="none"/>
        </w:rPr>
        <w:t>包括软件）及相关的其备品备件、工具、手册及</w:t>
      </w:r>
      <w:r>
        <w:rPr>
          <w:rFonts w:ascii="宋体" w:hAnsi="宋体"/>
          <w:color w:val="auto"/>
          <w:szCs w:val="21"/>
          <w:highlight w:val="none"/>
        </w:rPr>
        <w:t>其他</w:t>
      </w:r>
      <w:r>
        <w:rPr>
          <w:rFonts w:hint="eastAsia" w:ascii="宋体" w:hAnsi="宋体"/>
          <w:color w:val="auto"/>
          <w:szCs w:val="21"/>
          <w:highlight w:val="none"/>
        </w:rPr>
        <w:t>技术资料和材料等。</w:t>
      </w:r>
    </w:p>
    <w:p w14:paraId="2EF3F863">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rPr>
        <w:t>相关</w:t>
      </w:r>
      <w:r>
        <w:rPr>
          <w:rFonts w:hint="eastAsia" w:ascii="宋体" w:hAnsi="宋体"/>
          <w:color w:val="auto"/>
          <w:szCs w:val="21"/>
          <w:highlight w:val="none"/>
        </w:rPr>
        <w:t>服务”系指根据合同规定，乙方应提供的与货物有关的技术、管理和</w:t>
      </w:r>
      <w:r>
        <w:rPr>
          <w:rFonts w:ascii="宋体" w:hAnsi="宋体"/>
          <w:color w:val="auto"/>
          <w:szCs w:val="21"/>
          <w:highlight w:val="none"/>
        </w:rPr>
        <w:t>其他</w:t>
      </w:r>
      <w:r>
        <w:rPr>
          <w:rFonts w:hint="eastAsia" w:ascii="宋体" w:hAnsi="宋体"/>
          <w:color w:val="auto"/>
          <w:szCs w:val="21"/>
          <w:highlight w:val="none"/>
        </w:rPr>
        <w:t>服务，包括但不限于：管理和质量保证、运输、保险、检验、现场准备、安装、集成、调试、培训、维修、废弃处置、技术支持等以及合同中规定乙方应承担的</w:t>
      </w:r>
      <w:r>
        <w:rPr>
          <w:rFonts w:ascii="宋体" w:hAnsi="宋体"/>
          <w:color w:val="auto"/>
          <w:szCs w:val="21"/>
          <w:highlight w:val="none"/>
        </w:rPr>
        <w:t>其他</w:t>
      </w:r>
      <w:r>
        <w:rPr>
          <w:rFonts w:hint="eastAsia" w:ascii="宋体" w:hAnsi="宋体"/>
          <w:color w:val="auto"/>
          <w:szCs w:val="21"/>
          <w:highlight w:val="none"/>
        </w:rPr>
        <w:t>义务。</w:t>
      </w:r>
    </w:p>
    <w:p w14:paraId="4FE71916">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（5）“分包”系指中标（成交）供应商按采购文件、投标（响应）文件的规定，根据分包意向协议，将中标（成交）项目中的部分履约内容，分给具有相应资质条件的供应商履行合同的行为。</w:t>
      </w:r>
    </w:p>
    <w:p w14:paraId="6A365CDA">
      <w:pPr>
        <w:tabs>
          <w:tab w:val="left" w:pos="570"/>
          <w:tab w:val="left" w:pos="9240"/>
          <w:tab w:val="left" w:pos="9555"/>
        </w:tabs>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rPr>
        <w:t>“联合体”系指由两个以上的自然人、法人或者非法人组织组成，以一个供应商的身份共同参加政府采购的主体</w:t>
      </w:r>
      <w:r>
        <w:rPr>
          <w:rFonts w:hint="eastAsia" w:ascii="宋体" w:hAnsi="宋体"/>
          <w:color w:val="auto"/>
          <w:szCs w:val="21"/>
          <w:highlight w:val="none"/>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245C707E">
      <w:pPr>
        <w:tabs>
          <w:tab w:val="left" w:pos="570"/>
          <w:tab w:val="left" w:pos="9240"/>
          <w:tab w:val="left" w:pos="9555"/>
        </w:tabs>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（7）其他术语解释，见【</w:t>
      </w:r>
      <w:r>
        <w:rPr>
          <w:rFonts w:hint="eastAsia" w:ascii="宋体" w:hAnsi="宋体"/>
          <w:b/>
          <w:bCs/>
          <w:color w:val="auto"/>
          <w:szCs w:val="21"/>
          <w:highlight w:val="none"/>
        </w:rPr>
        <w:t>政府采购合同专用条款</w:t>
      </w:r>
      <w:r>
        <w:rPr>
          <w:rFonts w:hint="eastAsia" w:ascii="宋体" w:hAnsi="宋体"/>
          <w:color w:val="auto"/>
          <w:szCs w:val="21"/>
          <w:highlight w:val="none"/>
        </w:rPr>
        <w:t>】。</w:t>
      </w:r>
    </w:p>
    <w:p w14:paraId="734A1676">
      <w:pPr>
        <w:numPr>
          <w:ilvl w:val="0"/>
          <w:numId w:val="6"/>
        </w:num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color w:val="auto"/>
          <w:sz w:val="24"/>
          <w:szCs w:val="20"/>
          <w:highlight w:val="none"/>
        </w:rPr>
        <w:t>合同标的及金额</w:t>
      </w:r>
    </w:p>
    <w:p w14:paraId="4DCED406">
      <w:pPr>
        <w:autoSpaceDE w:val="0"/>
        <w:autoSpaceDN w:val="0"/>
        <w:adjustRightInd w:val="0"/>
        <w:snapToGrid w:val="0"/>
        <w:spacing w:line="360" w:lineRule="auto"/>
        <w:ind w:firstLine="420" w:firstLineChars="200"/>
        <w:jc w:val="left"/>
        <w:rPr>
          <w:rFonts w:hint="eastAsia" w:ascii="宋体" w:hAnsi="宋体"/>
          <w:b/>
          <w:bCs/>
          <w:i/>
          <w:iCs/>
          <w:color w:val="auto"/>
          <w:szCs w:val="21"/>
          <w:highlight w:val="none"/>
        </w:rPr>
      </w:pPr>
      <w:r>
        <w:rPr>
          <w:rFonts w:hint="eastAsia" w:ascii="宋体" w:hAnsi="宋体"/>
          <w:color w:val="auto"/>
          <w:szCs w:val="21"/>
          <w:highlight w:val="none"/>
        </w:rPr>
        <w:t>2.1 合同标的及金额应与中标（成交）结果一致。乙方为履行本合同而发生的所有费用均应包含在合同价款中，甲方不再另行支付</w:t>
      </w:r>
      <w:r>
        <w:rPr>
          <w:rFonts w:ascii="宋体" w:hAnsi="宋体"/>
          <w:color w:val="auto"/>
          <w:szCs w:val="21"/>
          <w:highlight w:val="none"/>
        </w:rPr>
        <w:t>其他</w:t>
      </w:r>
      <w:r>
        <w:rPr>
          <w:rFonts w:hint="eastAsia" w:ascii="宋体" w:hAnsi="宋体"/>
          <w:color w:val="auto"/>
          <w:szCs w:val="21"/>
          <w:highlight w:val="none"/>
        </w:rPr>
        <w:t>任何费用。</w:t>
      </w:r>
    </w:p>
    <w:p w14:paraId="570D5408">
      <w:pPr>
        <w:adjustRightInd w:val="0"/>
        <w:snapToGrid w:val="0"/>
        <w:spacing w:line="360" w:lineRule="auto"/>
        <w:jc w:val="left"/>
        <w:rPr>
          <w:rFonts w:hint="eastAsia" w:ascii="宋体" w:hAnsi="宋体"/>
          <w:b/>
          <w:color w:val="auto"/>
          <w:sz w:val="24"/>
          <w:szCs w:val="20"/>
          <w:highlight w:val="none"/>
        </w:rPr>
      </w:pPr>
      <w:r>
        <w:rPr>
          <w:rFonts w:hint="eastAsia" w:ascii="宋体" w:hAnsi="宋体"/>
          <w:b/>
          <w:color w:val="auto"/>
          <w:sz w:val="24"/>
          <w:szCs w:val="20"/>
          <w:highlight w:val="none"/>
        </w:rPr>
        <w:t>3. 履行合同的时间、地点和方式</w:t>
      </w:r>
    </w:p>
    <w:p w14:paraId="366C14F5">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3.1 </w:t>
      </w:r>
      <w:r>
        <w:rPr>
          <w:rFonts w:hint="eastAsia" w:ascii="宋体" w:hAnsi="宋体" w:cs="宋体"/>
          <w:color w:val="auto"/>
          <w:szCs w:val="21"/>
          <w:highlight w:val="none"/>
        </w:rPr>
        <w:t>乙方应当在约定的时间、地点，按照约定方式履行合同。</w:t>
      </w:r>
    </w:p>
    <w:p w14:paraId="7ED9587E">
      <w:p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4. 甲方的权利和义务</w:t>
      </w:r>
    </w:p>
    <w:p w14:paraId="2027959C">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4.1</w:t>
      </w:r>
      <w:r>
        <w:rPr>
          <w:rFonts w:ascii="宋体" w:hAnsi="宋体"/>
          <w:color w:val="auto"/>
          <w:szCs w:val="21"/>
          <w:highlight w:val="none"/>
        </w:rPr>
        <w:t xml:space="preserve"> 签署合同后，甲方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r>
        <w:rPr>
          <w:rFonts w:hint="eastAsia" w:ascii="宋体" w:hAnsi="宋体"/>
          <w:color w:val="auto"/>
          <w:szCs w:val="21"/>
          <w:highlight w:val="none"/>
        </w:rPr>
        <w:t>甲方有权对乙方的履约行为进行检查，并</w:t>
      </w:r>
      <w:r>
        <w:rPr>
          <w:rFonts w:ascii="宋体" w:hAnsi="宋体"/>
          <w:color w:val="auto"/>
          <w:szCs w:val="21"/>
          <w:highlight w:val="none"/>
        </w:rPr>
        <w:t>及时确认乙方提交的事项</w:t>
      </w:r>
      <w:r>
        <w:rPr>
          <w:rFonts w:hint="eastAsia" w:ascii="宋体" w:hAnsi="宋体"/>
          <w:color w:val="auto"/>
          <w:szCs w:val="21"/>
          <w:highlight w:val="none"/>
        </w:rPr>
        <w:t>。甲方应当</w:t>
      </w:r>
      <w:r>
        <w:rPr>
          <w:rFonts w:ascii="宋体" w:hAnsi="宋体"/>
          <w:color w:val="auto"/>
          <w:szCs w:val="21"/>
          <w:highlight w:val="none"/>
        </w:rPr>
        <w:t>配合乙方完成</w:t>
      </w:r>
      <w:r>
        <w:rPr>
          <w:rFonts w:hint="eastAsia" w:ascii="宋体" w:hAnsi="宋体"/>
          <w:color w:val="auto"/>
          <w:szCs w:val="21"/>
          <w:highlight w:val="none"/>
        </w:rPr>
        <w:t>相关项目</w:t>
      </w:r>
      <w:r>
        <w:rPr>
          <w:rFonts w:ascii="宋体" w:hAnsi="宋体"/>
          <w:color w:val="auto"/>
          <w:szCs w:val="21"/>
          <w:highlight w:val="none"/>
        </w:rPr>
        <w:t>实施工作。</w:t>
      </w:r>
    </w:p>
    <w:p w14:paraId="09F8CE0A">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4.2 </w:t>
      </w:r>
      <w:r>
        <w:rPr>
          <w:rFonts w:ascii="宋体" w:hAnsi="宋体"/>
          <w:color w:val="auto"/>
          <w:szCs w:val="21"/>
          <w:highlight w:val="none"/>
        </w:rPr>
        <w:t>甲方有权要求乙方按时提交各阶段有关</w:t>
      </w:r>
      <w:r>
        <w:rPr>
          <w:rFonts w:hint="eastAsia" w:ascii="宋体" w:hAnsi="宋体"/>
          <w:color w:val="auto"/>
          <w:szCs w:val="21"/>
          <w:highlight w:val="none"/>
        </w:rPr>
        <w:t>安排计划</w:t>
      </w:r>
      <w:r>
        <w:rPr>
          <w:rFonts w:ascii="宋体" w:hAnsi="宋体"/>
          <w:color w:val="auto"/>
          <w:szCs w:val="21"/>
          <w:highlight w:val="none"/>
        </w:rPr>
        <w:t>，并有权</w:t>
      </w:r>
      <w:r>
        <w:rPr>
          <w:rFonts w:hint="eastAsia" w:ascii="宋体" w:hAnsi="宋体"/>
          <w:color w:val="auto"/>
          <w:szCs w:val="21"/>
          <w:highlight w:val="none"/>
        </w:rPr>
        <w:t>定期核对乙方提供货物数量、规格、质量等内容。甲方</w:t>
      </w:r>
      <w:r>
        <w:rPr>
          <w:rFonts w:ascii="宋体" w:hAnsi="宋体"/>
          <w:color w:val="auto"/>
          <w:szCs w:val="21"/>
          <w:highlight w:val="none"/>
        </w:rPr>
        <w:t>有权督促乙方工作并要求乙方</w:t>
      </w:r>
      <w:r>
        <w:rPr>
          <w:rFonts w:hint="eastAsia" w:ascii="宋体" w:hAnsi="宋体"/>
          <w:color w:val="auto"/>
          <w:szCs w:val="21"/>
          <w:highlight w:val="none"/>
        </w:rPr>
        <w:t>更</w:t>
      </w:r>
      <w:r>
        <w:rPr>
          <w:rFonts w:ascii="宋体" w:hAnsi="宋体"/>
          <w:color w:val="auto"/>
          <w:szCs w:val="21"/>
          <w:highlight w:val="none"/>
        </w:rPr>
        <w:t>换不符合要求的</w:t>
      </w:r>
      <w:r>
        <w:rPr>
          <w:rFonts w:hint="eastAsia" w:ascii="宋体" w:hAnsi="宋体"/>
          <w:color w:val="auto"/>
          <w:szCs w:val="21"/>
          <w:highlight w:val="none"/>
        </w:rPr>
        <w:t>货物</w:t>
      </w:r>
      <w:r>
        <w:rPr>
          <w:rFonts w:ascii="宋体" w:hAnsi="宋体"/>
          <w:color w:val="auto"/>
          <w:szCs w:val="21"/>
          <w:highlight w:val="none"/>
        </w:rPr>
        <w:t>。</w:t>
      </w:r>
    </w:p>
    <w:p w14:paraId="4F077950">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3甲方</w:t>
      </w:r>
      <w:r>
        <w:rPr>
          <w:rFonts w:hint="eastAsia" w:ascii="宋体" w:hAnsi="宋体"/>
          <w:color w:val="auto"/>
          <w:szCs w:val="21"/>
          <w:highlight w:val="none"/>
        </w:rPr>
        <w:t>有权要求乙方对缺陷部分予以修复，并按合同约定享有货物保修及其他合同约定的权利。</w:t>
      </w:r>
    </w:p>
    <w:p w14:paraId="76756E3C">
      <w:pPr>
        <w:snapToGrid w:val="0"/>
        <w:spacing w:line="360" w:lineRule="auto"/>
        <w:ind w:firstLine="420" w:firstLineChars="200"/>
        <w:rPr>
          <w:rFonts w:ascii="Calibri" w:hAnsi="Calibri" w:eastAsia="华文楷体"/>
          <w:color w:val="auto"/>
          <w:szCs w:val="20"/>
          <w:highlight w:val="none"/>
        </w:rPr>
      </w:pPr>
      <w:r>
        <w:rPr>
          <w:rFonts w:ascii="宋体" w:hAnsi="宋体"/>
          <w:color w:val="auto"/>
          <w:szCs w:val="21"/>
          <w:highlight w:val="none"/>
        </w:rPr>
        <w:t>4.4 甲方应当按照合同约定及时对交付的货物进行验收</w:t>
      </w:r>
      <w:r>
        <w:rPr>
          <w:rFonts w:hint="eastAsia" w:ascii="宋体" w:hAnsi="宋体"/>
          <w:color w:val="auto"/>
          <w:szCs w:val="21"/>
          <w:highlight w:val="none"/>
        </w:rPr>
        <w:t>，</w:t>
      </w:r>
      <w:r>
        <w:rPr>
          <w:rFonts w:hint="eastAsia" w:ascii="宋体" w:hAnsi="宋体" w:cs="宋体"/>
          <w:color w:val="auto"/>
          <w:szCs w:val="21"/>
          <w:highlight w:val="none"/>
        </w:rPr>
        <w:t>未</w:t>
      </w:r>
      <w:r>
        <w:rPr>
          <w:rFonts w:hint="eastAsia" w:ascii="宋体" w:hAnsi="宋体"/>
          <w:color w:val="auto"/>
          <w:szCs w:val="21"/>
          <w:highlight w:val="none"/>
        </w:rPr>
        <w:t>在</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约定的期限内对乙方履约提出任何异议或者向乙方作出任何说明的，</w:t>
      </w:r>
      <w:r>
        <w:rPr>
          <w:rFonts w:hint="eastAsia" w:ascii="宋体" w:hAnsi="宋体"/>
          <w:color w:val="auto"/>
          <w:szCs w:val="21"/>
          <w:highlight w:val="none"/>
        </w:rPr>
        <w:t>视为验收通过。</w:t>
      </w:r>
    </w:p>
    <w:p w14:paraId="3721DA2F">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 xml:space="preserve">5 </w:t>
      </w:r>
      <w:r>
        <w:rPr>
          <w:rFonts w:hint="eastAsia" w:ascii="宋体" w:hAnsi="宋体"/>
          <w:color w:val="auto"/>
          <w:szCs w:val="21"/>
          <w:highlight w:val="none"/>
        </w:rPr>
        <w:t>甲方应当根据合同约定及时向乙方支付合同价款</w:t>
      </w:r>
      <w:r>
        <w:rPr>
          <w:rFonts w:ascii="宋体" w:hAnsi="宋体"/>
          <w:color w:val="auto"/>
          <w:szCs w:val="21"/>
          <w:highlight w:val="none"/>
        </w:rPr>
        <w:t>，不得以内部人员变更、履行内部付款流程等为由，拒绝或迟延支付。</w:t>
      </w:r>
    </w:p>
    <w:p w14:paraId="54782857">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4.6国家法律法规规定及</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约定应由甲方承担的其他义务和责任。</w:t>
      </w:r>
    </w:p>
    <w:p w14:paraId="4725287F">
      <w:p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5. 乙方的权利和义务</w:t>
      </w:r>
    </w:p>
    <w:p w14:paraId="08F20F14">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5.1 </w:t>
      </w:r>
      <w:r>
        <w:rPr>
          <w:rFonts w:ascii="宋体" w:hAnsi="宋体"/>
          <w:color w:val="auto"/>
          <w:szCs w:val="21"/>
          <w:highlight w:val="none"/>
        </w:rPr>
        <w:t>签署合同后，乙方</w:t>
      </w:r>
      <w:r>
        <w:rPr>
          <w:rFonts w:hint="eastAsia" w:ascii="宋体" w:hAnsi="宋体"/>
          <w:color w:val="auto"/>
          <w:szCs w:val="21"/>
          <w:highlight w:val="none"/>
        </w:rPr>
        <w:t>应</w:t>
      </w:r>
      <w:r>
        <w:rPr>
          <w:rFonts w:ascii="宋体" w:hAnsi="宋体"/>
          <w:color w:val="auto"/>
          <w:szCs w:val="21"/>
          <w:highlight w:val="none"/>
        </w:rPr>
        <w:t>确定</w:t>
      </w:r>
      <w:r>
        <w:rPr>
          <w:rFonts w:hint="eastAsia" w:ascii="宋体" w:hAnsi="宋体"/>
          <w:color w:val="auto"/>
          <w:szCs w:val="21"/>
          <w:highlight w:val="none"/>
        </w:rPr>
        <w:t>项目负责人（或项目联系人）</w:t>
      </w:r>
      <w:r>
        <w:rPr>
          <w:rFonts w:ascii="宋体" w:hAnsi="宋体"/>
          <w:color w:val="auto"/>
          <w:szCs w:val="21"/>
          <w:highlight w:val="none"/>
        </w:rPr>
        <w:t>，负责与本合同有关的事务。</w:t>
      </w:r>
    </w:p>
    <w:p w14:paraId="4B5DAE50">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2 乙方应按照合同要求</w:t>
      </w:r>
      <w:r>
        <w:rPr>
          <w:rFonts w:hint="eastAsia" w:ascii="宋体" w:hAnsi="宋体"/>
          <w:color w:val="auto"/>
          <w:szCs w:val="21"/>
          <w:highlight w:val="none"/>
        </w:rPr>
        <w:t>履约</w:t>
      </w:r>
      <w:r>
        <w:rPr>
          <w:rFonts w:ascii="宋体" w:hAnsi="宋体"/>
          <w:color w:val="auto"/>
          <w:szCs w:val="21"/>
          <w:highlight w:val="none"/>
        </w:rPr>
        <w:t>，充分合理安排，确保</w:t>
      </w:r>
      <w:r>
        <w:rPr>
          <w:rFonts w:hint="eastAsia" w:ascii="宋体" w:hAnsi="宋体"/>
          <w:color w:val="auto"/>
          <w:szCs w:val="21"/>
          <w:highlight w:val="none"/>
        </w:rPr>
        <w:t>提供的货物及相关服务符合合同有关</w:t>
      </w:r>
      <w:r>
        <w:rPr>
          <w:rFonts w:ascii="宋体" w:hAnsi="宋体"/>
          <w:color w:val="auto"/>
          <w:szCs w:val="21"/>
          <w:highlight w:val="none"/>
        </w:rPr>
        <w:t>要求</w:t>
      </w:r>
      <w:r>
        <w:rPr>
          <w:rFonts w:hint="eastAsia" w:ascii="宋体" w:hAnsi="宋体"/>
          <w:color w:val="auto"/>
          <w:szCs w:val="21"/>
          <w:highlight w:val="none"/>
        </w:rPr>
        <w:t>。接受项目行业管理部门及政府有关部门的指导，配合甲方的履约检查及验收，并</w:t>
      </w:r>
      <w:r>
        <w:rPr>
          <w:rFonts w:ascii="宋体" w:hAnsi="宋体"/>
          <w:color w:val="auto"/>
          <w:szCs w:val="21"/>
          <w:highlight w:val="none"/>
        </w:rPr>
        <w:t>负责项目实施过程中的所有协调工作。</w:t>
      </w:r>
    </w:p>
    <w:p w14:paraId="0E5E917D">
      <w:pPr>
        <w:spacing w:line="360" w:lineRule="auto"/>
        <w:ind w:firstLine="369" w:firstLineChars="176"/>
        <w:rPr>
          <w:rFonts w:hint="eastAsia"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3</w:t>
      </w:r>
      <w:r>
        <w:rPr>
          <w:rFonts w:hint="eastAsia" w:ascii="宋体" w:hAnsi="宋体"/>
          <w:color w:val="auto"/>
          <w:szCs w:val="21"/>
          <w:highlight w:val="none"/>
        </w:rPr>
        <w:t>乙方有权</w:t>
      </w:r>
      <w:r>
        <w:rPr>
          <w:rFonts w:hint="eastAsia" w:ascii="宋体" w:hAnsi="宋体" w:cs="宋体"/>
          <w:color w:val="auto"/>
          <w:szCs w:val="21"/>
          <w:highlight w:val="none"/>
        </w:rPr>
        <w:t>根据合同约定向甲方收取合同价款。</w:t>
      </w:r>
    </w:p>
    <w:p w14:paraId="0DAADE54">
      <w:pPr>
        <w:spacing w:line="360" w:lineRule="auto"/>
        <w:ind w:firstLine="369" w:firstLineChars="176"/>
        <w:rPr>
          <w:rFonts w:hint="eastAsia" w:ascii="宋体" w:hAnsi="宋体" w:cs="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4</w:t>
      </w:r>
      <w:r>
        <w:rPr>
          <w:rFonts w:hint="eastAsia" w:ascii="宋体" w:hAnsi="宋体" w:cs="宋体"/>
          <w:color w:val="auto"/>
          <w:szCs w:val="21"/>
          <w:highlight w:val="none"/>
        </w:rPr>
        <w:t>国家法律法规规定</w:t>
      </w:r>
      <w:r>
        <w:rPr>
          <w:rFonts w:hint="eastAsia" w:ascii="宋体" w:hAnsi="宋体"/>
          <w:color w:val="auto"/>
          <w:szCs w:val="21"/>
          <w:highlight w:val="none"/>
        </w:rPr>
        <w:t>及</w:t>
      </w:r>
      <w:r>
        <w:rPr>
          <w:rFonts w:hint="eastAsia" w:ascii="宋体" w:hAnsi="宋体" w:cs="宋体"/>
          <w:b/>
          <w:bCs/>
          <w:color w:val="auto"/>
          <w:szCs w:val="21"/>
          <w:highlight w:val="none"/>
        </w:rPr>
        <w:t>【政府采购合同专用条款】</w:t>
      </w:r>
      <w:r>
        <w:rPr>
          <w:rFonts w:hint="eastAsia" w:ascii="宋体" w:hAnsi="宋体" w:cs="宋体"/>
          <w:color w:val="auto"/>
          <w:szCs w:val="21"/>
          <w:highlight w:val="none"/>
        </w:rPr>
        <w:t>约定应</w:t>
      </w:r>
      <w:r>
        <w:rPr>
          <w:rFonts w:hint="eastAsia" w:ascii="宋体" w:hAnsi="宋体" w:cs="宋体"/>
          <w:color w:val="auto"/>
          <w:szCs w:val="21"/>
          <w:highlight w:val="none"/>
        </w:rPr>
        <w:t>由乙方承担的其他义务和责任。</w:t>
      </w:r>
    </w:p>
    <w:p w14:paraId="73B5740E">
      <w:pPr>
        <w:numPr>
          <w:ilvl w:val="0"/>
          <w:numId w:val="7"/>
        </w:num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合同履行</w:t>
      </w:r>
    </w:p>
    <w:p w14:paraId="6E3E2209">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6.1 甲乙双方应当按照</w:t>
      </w:r>
      <w:r>
        <w:rPr>
          <w:rFonts w:hint="eastAsia" w:ascii="宋体" w:hAnsi="宋体" w:cs="宋体"/>
          <w:b/>
          <w:bCs/>
          <w:color w:val="auto"/>
          <w:szCs w:val="21"/>
          <w:highlight w:val="none"/>
        </w:rPr>
        <w:t>【政府采购合同专用条款】</w:t>
      </w:r>
      <w:r>
        <w:rPr>
          <w:rFonts w:hint="eastAsia" w:ascii="宋体" w:hAnsi="宋体"/>
          <w:color w:val="auto"/>
          <w:szCs w:val="21"/>
          <w:highlight w:val="none"/>
        </w:rPr>
        <w:t>约定顺序履行合同义务；如果没有先后顺序的，应当同时履行。</w:t>
      </w:r>
    </w:p>
    <w:p w14:paraId="6D837D89">
      <w:pPr>
        <w:autoSpaceDE w:val="0"/>
        <w:autoSpaceDN w:val="0"/>
        <w:adjustRightInd w:val="0"/>
        <w:snapToGrid w:val="0"/>
        <w:spacing w:line="360" w:lineRule="auto"/>
        <w:ind w:firstLine="420" w:firstLineChars="200"/>
        <w:jc w:val="left"/>
        <w:rPr>
          <w:rFonts w:ascii="Calibri" w:hAnsi="Calibri"/>
          <w:color w:val="auto"/>
          <w:szCs w:val="20"/>
          <w:highlight w:val="none"/>
        </w:rPr>
      </w:pPr>
      <w:r>
        <w:rPr>
          <w:rFonts w:hint="eastAsia" w:ascii="宋体" w:hAnsi="宋体"/>
          <w:color w:val="auto"/>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4501065F">
      <w:pPr>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7. 货物包装、运输、保险和交付要求</w:t>
      </w:r>
    </w:p>
    <w:p w14:paraId="1510082E">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7.1 本合同</w:t>
      </w:r>
      <w:r>
        <w:rPr>
          <w:rFonts w:hint="eastAsia" w:ascii="宋体" w:hAnsi="宋体"/>
          <w:bCs/>
          <w:color w:val="auto"/>
          <w:szCs w:val="21"/>
          <w:highlight w:val="none"/>
        </w:rPr>
        <w:t>涉及商品包装、快递包装的，</w:t>
      </w:r>
      <w:r>
        <w:rPr>
          <w:rFonts w:hint="eastAsia" w:ascii="宋体" w:hAnsi="宋体"/>
          <w:color w:val="auto"/>
          <w:szCs w:val="21"/>
          <w:highlight w:val="none"/>
        </w:rPr>
        <w:t>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包装应适应远距离运输、防潮、防震、防锈和防野蛮装卸等要求，确保货物安全无损地运抵</w:t>
      </w:r>
      <w:r>
        <w:rPr>
          <w:rFonts w:hint="eastAsia" w:ascii="宋体" w:hAnsi="宋体"/>
          <w:b/>
          <w:color w:val="auto"/>
          <w:szCs w:val="21"/>
          <w:highlight w:val="none"/>
        </w:rPr>
        <w:t>【政府采购合同专用条款】</w:t>
      </w:r>
      <w:r>
        <w:rPr>
          <w:rFonts w:hint="eastAsia" w:ascii="宋体" w:hAnsi="宋体"/>
          <w:bCs/>
          <w:color w:val="auto"/>
          <w:szCs w:val="21"/>
          <w:highlight w:val="none"/>
        </w:rPr>
        <w:t>约定的</w:t>
      </w:r>
      <w:r>
        <w:rPr>
          <w:rFonts w:hint="eastAsia" w:ascii="宋体" w:hAnsi="宋体"/>
          <w:color w:val="auto"/>
          <w:szCs w:val="21"/>
          <w:highlight w:val="none"/>
        </w:rPr>
        <w:t>指定现场。</w:t>
      </w:r>
    </w:p>
    <w:p w14:paraId="72569B7A">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7.2 除</w:t>
      </w:r>
      <w:r>
        <w:rPr>
          <w:rFonts w:hint="eastAsia" w:ascii="宋体" w:hAnsi="宋体"/>
          <w:b/>
          <w:color w:val="auto"/>
          <w:szCs w:val="21"/>
          <w:highlight w:val="none"/>
        </w:rPr>
        <w:t>【政府采购合同专用条款】</w:t>
      </w:r>
      <w:r>
        <w:rPr>
          <w:rFonts w:hint="eastAsia" w:ascii="宋体" w:hAnsi="宋体"/>
          <w:bCs/>
          <w:color w:val="auto"/>
          <w:szCs w:val="21"/>
          <w:highlight w:val="none"/>
        </w:rPr>
        <w:t>另有约定外，</w:t>
      </w:r>
      <w:r>
        <w:rPr>
          <w:rFonts w:hint="eastAsia" w:ascii="宋体" w:hAnsi="宋体"/>
          <w:color w:val="auto"/>
          <w:szCs w:val="21"/>
          <w:highlight w:val="none"/>
        </w:rPr>
        <w:t>乙方负责办理将货物运抵本合同规定的交货地点，并装卸、交付至甲方的一切运输事项，相关费用应包含在合同价款中。</w:t>
      </w:r>
    </w:p>
    <w:p w14:paraId="70C1D1A6">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7.3 货物保险要求按</w:t>
      </w:r>
      <w:r>
        <w:rPr>
          <w:rFonts w:hint="eastAsia" w:ascii="宋体" w:hAnsi="宋体"/>
          <w:b/>
          <w:color w:val="auto"/>
          <w:szCs w:val="21"/>
          <w:highlight w:val="none"/>
        </w:rPr>
        <w:t>【政府采购合同专用条款】</w:t>
      </w:r>
      <w:r>
        <w:rPr>
          <w:rFonts w:hint="eastAsia" w:ascii="宋体" w:hAnsi="宋体"/>
          <w:bCs/>
          <w:color w:val="auto"/>
          <w:szCs w:val="21"/>
          <w:highlight w:val="none"/>
        </w:rPr>
        <w:t>规定执行</w:t>
      </w:r>
      <w:r>
        <w:rPr>
          <w:rFonts w:hint="eastAsia" w:ascii="宋体" w:hAnsi="宋体"/>
          <w:color w:val="auto"/>
          <w:szCs w:val="21"/>
          <w:highlight w:val="none"/>
        </w:rPr>
        <w:t>。</w:t>
      </w:r>
    </w:p>
    <w:p w14:paraId="06ECB621">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2280550A">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7.5 </w:t>
      </w:r>
      <w:r>
        <w:rPr>
          <w:rFonts w:hint="eastAsia" w:ascii="宋体" w:hAnsi="宋体" w:cs="宋体"/>
          <w:color w:val="auto"/>
          <w:szCs w:val="21"/>
          <w:highlight w:val="none"/>
        </w:rPr>
        <w:t>乙方在运输到达之前应提前通知甲方，并提示货物运输装卸的注意事项，甲方配合乙方做好货物的接收工作。</w:t>
      </w:r>
    </w:p>
    <w:p w14:paraId="2794B1AB">
      <w:pPr>
        <w:pStyle w:val="21"/>
        <w:spacing w:line="360" w:lineRule="auto"/>
        <w:ind w:firstLine="420"/>
        <w:rPr>
          <w:rFonts w:hint="eastAsia"/>
          <w:color w:val="auto"/>
          <w:sz w:val="21"/>
          <w:highlight w:val="none"/>
        </w:rPr>
      </w:pPr>
      <w:r>
        <w:rPr>
          <w:rFonts w:hint="eastAsia" w:ascii="宋体" w:hAnsi="宋体" w:eastAsia="宋体" w:cs="Times New Roman"/>
          <w:color w:val="auto"/>
          <w:kern w:val="2"/>
          <w:sz w:val="21"/>
          <w:highlight w:val="none"/>
        </w:rPr>
        <w:t>7.6 如因包装、运输问题导致货物损毁、丢失或者品质下降，甲方有权要求降价、换货、拒收部分或整批货物，由此产生的费用和损失，均由乙方承担。</w:t>
      </w:r>
    </w:p>
    <w:p w14:paraId="1E7BBA95">
      <w:pPr>
        <w:adjustRightInd w:val="0"/>
        <w:snapToGrid w:val="0"/>
        <w:spacing w:line="360" w:lineRule="auto"/>
        <w:jc w:val="left"/>
        <w:rPr>
          <w:rFonts w:hint="eastAsia" w:ascii="宋体" w:hAnsi="宋体"/>
          <w:b/>
          <w:color w:val="auto"/>
          <w:sz w:val="24"/>
          <w:szCs w:val="20"/>
          <w:highlight w:val="none"/>
        </w:rPr>
      </w:pPr>
      <w:r>
        <w:rPr>
          <w:rFonts w:hint="eastAsia" w:ascii="宋体" w:hAnsi="宋体"/>
          <w:b/>
          <w:color w:val="auto"/>
          <w:sz w:val="24"/>
          <w:szCs w:val="20"/>
          <w:highlight w:val="none"/>
        </w:rPr>
        <w:t xml:space="preserve">8. </w:t>
      </w:r>
      <w:r>
        <w:rPr>
          <w:rFonts w:hint="eastAsia" w:ascii="宋体" w:hAnsi="宋体"/>
          <w:b/>
          <w:color w:val="auto"/>
          <w:sz w:val="24"/>
          <w:szCs w:val="20"/>
          <w:highlight w:val="none"/>
        </w:rPr>
        <w:t>质量标准和保证</w:t>
      </w:r>
    </w:p>
    <w:p w14:paraId="31649089">
      <w:pPr>
        <w:adjustRightInd w:val="0"/>
        <w:snapToGrid w:val="0"/>
        <w:spacing w:line="360" w:lineRule="auto"/>
        <w:ind w:firstLine="400" w:firstLineChars="200"/>
        <w:jc w:val="left"/>
        <w:rPr>
          <w:rFonts w:hint="eastAsia" w:ascii="宋体" w:hAnsi="宋体"/>
          <w:b/>
          <w:color w:val="auto"/>
          <w:kern w:val="0"/>
          <w:sz w:val="20"/>
          <w:highlight w:val="none"/>
        </w:rPr>
      </w:pPr>
      <w:r>
        <w:rPr>
          <w:rFonts w:hint="eastAsia" w:ascii="宋体" w:hAnsi="宋体"/>
          <w:color w:val="auto"/>
          <w:kern w:val="0"/>
          <w:sz w:val="20"/>
          <w:highlight w:val="none"/>
        </w:rPr>
        <w:t>8.1 质量标准</w:t>
      </w:r>
    </w:p>
    <w:p w14:paraId="272663D4">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（1）本合同下提供的货物应符合合同</w:t>
      </w:r>
      <w:r>
        <w:rPr>
          <w:rFonts w:hint="eastAsia" w:ascii="宋体" w:hAnsi="宋体" w:cs="宋体"/>
          <w:color w:val="auto"/>
          <w:szCs w:val="21"/>
          <w:highlight w:val="none"/>
        </w:rPr>
        <w:t>约定的</w:t>
      </w:r>
      <w:r>
        <w:rPr>
          <w:rFonts w:hint="eastAsia" w:ascii="宋体" w:hAnsi="宋体" w:cs="宋体"/>
          <w:color w:val="auto"/>
          <w:szCs w:val="21"/>
          <w:highlight w:val="none"/>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6791D33">
      <w:pPr>
        <w:adjustRightInd w:val="0"/>
        <w:snapToGrid w:val="0"/>
        <w:spacing w:line="360" w:lineRule="auto"/>
        <w:ind w:firstLine="400" w:firstLineChars="200"/>
        <w:jc w:val="left"/>
        <w:rPr>
          <w:rFonts w:hint="eastAsia" w:ascii="宋体" w:hAnsi="宋体"/>
          <w:color w:val="auto"/>
          <w:kern w:val="0"/>
          <w:sz w:val="20"/>
          <w:highlight w:val="none"/>
        </w:rPr>
      </w:pPr>
      <w:r>
        <w:rPr>
          <w:rFonts w:hint="eastAsia" w:ascii="宋体" w:hAnsi="宋体"/>
          <w:color w:val="auto"/>
          <w:kern w:val="0"/>
          <w:sz w:val="20"/>
          <w:highlight w:val="none"/>
        </w:rPr>
        <w:t>（2）采用中华人民共和国法定计量单位。</w:t>
      </w:r>
    </w:p>
    <w:p w14:paraId="442C3C75">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（3）乙方所提供的货物应符合国家有关安全、环保、卫生的规定。</w:t>
      </w:r>
    </w:p>
    <w:p w14:paraId="57E94380">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（4）乙方应向甲方提交所提供货物的技术文件，包括相应的中文技术文件，如：产品目录、图纸、操作手册、使用说明、维护手册或服务指南等。上述文件应包装好随货物一同发运。</w:t>
      </w:r>
    </w:p>
    <w:p w14:paraId="493EEEB3">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8.2 保证</w:t>
      </w:r>
    </w:p>
    <w:p w14:paraId="70FF60CB">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（1）乙方应保证提供的货物完全符合合同规定的质量、规格和性能要求。乙方应保证货物在正确安装、正常使用和保养条件下，</w:t>
      </w:r>
      <w:r>
        <w:rPr>
          <w:rFonts w:hint="eastAsia" w:ascii="宋体" w:hAnsi="宋体" w:cs="宋体"/>
          <w:color w:val="auto"/>
          <w:szCs w:val="21"/>
          <w:highlight w:val="none"/>
        </w:rPr>
        <w:t>在其使用寿命期内具备合同约定的性能</w:t>
      </w:r>
      <w:r>
        <w:rPr>
          <w:rFonts w:hint="eastAsia" w:ascii="宋体" w:hAnsi="宋体"/>
          <w:color w:val="auto"/>
          <w:szCs w:val="21"/>
          <w:highlight w:val="none"/>
        </w:rPr>
        <w:t>。存在质量保证期的，货物最终交付验收合格后在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规定或乙方书面承诺（两者以较长的为准）的质量保证期内，本保证保持有效。</w:t>
      </w:r>
    </w:p>
    <w:p w14:paraId="63A23B6C">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7692F86">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（3）乙方收到通知后，应在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6A902EC5">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auto"/>
          <w:szCs w:val="21"/>
          <w:highlight w:val="none"/>
        </w:rPr>
        <w:t>5</w:t>
      </w:r>
      <w:r>
        <w:rPr>
          <w:rFonts w:hint="eastAsia" w:ascii="宋体" w:hAnsi="宋体"/>
          <w:color w:val="auto"/>
          <w:szCs w:val="21"/>
          <w:highlight w:val="none"/>
        </w:rPr>
        <w:t>.1条规定以书面形式</w:t>
      </w:r>
      <w:r>
        <w:rPr>
          <w:rFonts w:hint="eastAsia" w:ascii="宋体" w:hAnsi="宋体"/>
          <w:color w:val="auto"/>
          <w:szCs w:val="21"/>
          <w:highlight w:val="none"/>
        </w:rPr>
        <w:t>追究</w:t>
      </w:r>
      <w:r>
        <w:rPr>
          <w:rFonts w:hint="eastAsia" w:ascii="宋体" w:hAnsi="宋体"/>
          <w:color w:val="auto"/>
          <w:szCs w:val="21"/>
          <w:highlight w:val="none"/>
        </w:rPr>
        <w:t>乙方</w:t>
      </w:r>
      <w:r>
        <w:rPr>
          <w:rFonts w:hint="eastAsia" w:ascii="宋体" w:hAnsi="宋体"/>
          <w:color w:val="auto"/>
          <w:szCs w:val="21"/>
          <w:highlight w:val="none"/>
        </w:rPr>
        <w:t>的违约责任</w:t>
      </w:r>
      <w:r>
        <w:rPr>
          <w:rFonts w:hint="eastAsia" w:ascii="宋体" w:hAnsi="宋体"/>
          <w:color w:val="auto"/>
          <w:szCs w:val="21"/>
          <w:highlight w:val="none"/>
        </w:rPr>
        <w:t>。</w:t>
      </w:r>
    </w:p>
    <w:p w14:paraId="387DEBBE">
      <w:pPr>
        <w:adjustRightInd w:val="0"/>
        <w:snapToGrid w:val="0"/>
        <w:spacing w:line="360" w:lineRule="auto"/>
        <w:ind w:firstLine="420" w:firstLineChars="200"/>
        <w:jc w:val="left"/>
        <w:rPr>
          <w:rFonts w:ascii="Calibri" w:hAnsi="Calibri"/>
          <w:color w:val="auto"/>
          <w:szCs w:val="20"/>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（5）乙方在约定的时间内未能弥补缺陷，甲方可采取必要的补救措施，但其风险和费用将由乙方承担，甲方根据合同约定对乙方行使的其他权利不受影响。</w:t>
      </w:r>
    </w:p>
    <w:p w14:paraId="50A9849C">
      <w:pPr>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9</w:t>
      </w:r>
      <w:r>
        <w:rPr>
          <w:rFonts w:hint="eastAsia" w:ascii="宋体" w:hAnsi="宋体"/>
          <w:b/>
          <w:bCs/>
          <w:color w:val="auto"/>
          <w:sz w:val="24"/>
          <w:szCs w:val="20"/>
          <w:highlight w:val="none"/>
        </w:rPr>
        <w:t>.权利瑕疵担保</w:t>
      </w:r>
    </w:p>
    <w:p w14:paraId="0DFFB7E7">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9.1 乙方保证对其出售的货物享有合法的权利。</w:t>
      </w:r>
    </w:p>
    <w:p w14:paraId="40E28D58">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9.2 </w:t>
      </w:r>
      <w:r>
        <w:rPr>
          <w:rFonts w:hint="eastAsia" w:ascii="宋体" w:hAnsi="宋体" w:cs="宋体"/>
          <w:color w:val="auto"/>
          <w:szCs w:val="15"/>
          <w:highlight w:val="none"/>
        </w:rPr>
        <w:t>乙方保证在交付的货物上不存在抵押权等担保物权。</w:t>
      </w:r>
    </w:p>
    <w:p w14:paraId="26AAC76D">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9.3 如甲方使用上述货物构成对第三人侵权的，则由乙方承担全部责任。</w:t>
      </w:r>
    </w:p>
    <w:p w14:paraId="0496BA26">
      <w:p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10. 知识产权保护</w:t>
      </w:r>
    </w:p>
    <w:p w14:paraId="5283E456">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10.1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4" w:name="_Hlk163047038"/>
      <w:r>
        <w:rPr>
          <w:rFonts w:hint="eastAsia" w:ascii="宋体" w:hAnsi="宋体" w:cs="宋体"/>
          <w:color w:val="auto"/>
          <w:szCs w:val="15"/>
          <w:highlight w:val="none"/>
        </w:rPr>
        <w:t>因违反前述约定对第三人构成侵权的，应当由乙方向第三人承担法律责任；甲方依法向第三人赔偿后，有权向乙方追偿。甲方有其他损失的，乙方应当赔偿</w:t>
      </w:r>
      <w:bookmarkEnd w:id="4"/>
      <w:r>
        <w:rPr>
          <w:rFonts w:hint="eastAsia" w:ascii="宋体" w:hAnsi="宋体"/>
          <w:color w:val="auto"/>
          <w:szCs w:val="21"/>
          <w:highlight w:val="none"/>
        </w:rPr>
        <w:t>。</w:t>
      </w:r>
    </w:p>
    <w:p w14:paraId="03DBEEEA">
      <w:p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11. 保密义务</w:t>
      </w:r>
    </w:p>
    <w:p w14:paraId="5B8C3AFE">
      <w:pPr>
        <w:autoSpaceDE w:val="0"/>
        <w:autoSpaceDN w:val="0"/>
        <w:adjustRightInd w:val="0"/>
        <w:snapToGrid w:val="0"/>
        <w:spacing w:line="360" w:lineRule="auto"/>
        <w:ind w:firstLine="420" w:firstLineChars="200"/>
        <w:jc w:val="left"/>
        <w:rPr>
          <w:rFonts w:hint="eastAsia" w:ascii="宋体" w:hAnsi="宋体" w:cs="宋体"/>
          <w:color w:val="auto"/>
          <w:szCs w:val="15"/>
          <w:highlight w:val="none"/>
        </w:rPr>
      </w:pPr>
      <w:r>
        <w:rPr>
          <w:rFonts w:hint="eastAsia" w:ascii="宋体" w:hAnsi="宋体" w:cs="宋体"/>
          <w:color w:val="auto"/>
          <w:szCs w:val="15"/>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中约定。</w:t>
      </w:r>
    </w:p>
    <w:p w14:paraId="48318AC2">
      <w:p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12. 合同价款支付</w:t>
      </w:r>
    </w:p>
    <w:p w14:paraId="4D765B40">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12.1 合同价款支付按照国库集中支付制度及财政管理相关规定执行。</w:t>
      </w:r>
    </w:p>
    <w:p w14:paraId="75DF09AE">
      <w:pPr>
        <w:adjustRightInd w:val="0"/>
        <w:snapToGrid w:val="0"/>
        <w:spacing w:before="0" w:after="0" w:line="360" w:lineRule="auto"/>
        <w:ind w:firstLine="420" w:firstLineChars="200"/>
        <w:jc w:val="left"/>
        <w:rPr>
          <w:rFonts w:ascii="宋体" w:hAnsi="宋体" w:eastAsia="宋体" w:cs="宋体"/>
          <w:color w:val="auto"/>
          <w:szCs w:val="15"/>
          <w:highlight w:val="none"/>
        </w:rPr>
      </w:pPr>
      <w:r>
        <w:rPr>
          <w:rFonts w:hint="eastAsia" w:ascii="宋体" w:hAnsi="宋体" w:cs="宋体"/>
          <w:color w:val="auto"/>
          <w:szCs w:val="15"/>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32BD83CC">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13. 履约保证金</w:t>
      </w:r>
    </w:p>
    <w:p w14:paraId="3BFA7FAC">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13.1 </w:t>
      </w:r>
      <w:r>
        <w:rPr>
          <w:rFonts w:hint="eastAsia" w:ascii="宋体" w:hAnsi="宋体" w:cs="宋体"/>
          <w:color w:val="auto"/>
          <w:szCs w:val="15"/>
          <w:highlight w:val="none"/>
        </w:rPr>
        <w:t>乙方应当以支票、汇票、本票或者金融机构、担保机构出具的保函等非现金形式提交。</w:t>
      </w:r>
    </w:p>
    <w:p w14:paraId="6194B7E7">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13.2 如果乙方出现</w:t>
      </w:r>
      <w:r>
        <w:rPr>
          <w:rFonts w:hint="eastAsia" w:ascii="宋体" w:hAnsi="宋体" w:cs="宋体"/>
          <w:b/>
          <w:bCs/>
          <w:color w:val="auto"/>
          <w:szCs w:val="15"/>
          <w:highlight w:val="none"/>
        </w:rPr>
        <w:t>【政府采购合同专用条款】</w:t>
      </w:r>
      <w:r>
        <w:rPr>
          <w:rFonts w:hint="eastAsia" w:ascii="宋体" w:hAnsi="宋体" w:cs="宋体"/>
          <w:color w:val="auto"/>
          <w:szCs w:val="15"/>
          <w:highlight w:val="none"/>
        </w:rPr>
        <w:t>约定情形的</w:t>
      </w:r>
      <w:r>
        <w:rPr>
          <w:rFonts w:hint="eastAsia" w:ascii="宋体" w:hAnsi="宋体"/>
          <w:color w:val="auto"/>
          <w:szCs w:val="21"/>
          <w:highlight w:val="none"/>
        </w:rPr>
        <w:t>，履约保证金不予退还；如果乙方未能按合同约定全面履行义务，甲方有权从履约保证金中取得补偿或赔偿，且不影响甲方要求乙方承担合同约定的超过履约保证金的违约责任的权利。</w:t>
      </w:r>
    </w:p>
    <w:p w14:paraId="0A75DDD8">
      <w:pPr>
        <w:spacing w:line="360" w:lineRule="auto"/>
        <w:ind w:firstLine="420"/>
        <w:rPr>
          <w:rFonts w:ascii="Calibri" w:hAnsi="Calibri"/>
          <w:color w:val="auto"/>
          <w:szCs w:val="20"/>
          <w:highlight w:val="none"/>
        </w:rPr>
      </w:pPr>
      <w:r>
        <w:rPr>
          <w:rFonts w:hint="eastAsia" w:ascii="宋体" w:hAnsi="宋体"/>
          <w:color w:val="auto"/>
          <w:szCs w:val="21"/>
          <w:highlight w:val="none"/>
        </w:rPr>
        <w:t>13.3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574D2AB3">
      <w:pPr>
        <w:autoSpaceDE w:val="0"/>
        <w:autoSpaceDN w:val="0"/>
        <w:adjustRightInd w:val="0"/>
        <w:snapToGrid w:val="0"/>
        <w:spacing w:line="360" w:lineRule="auto"/>
        <w:jc w:val="left"/>
        <w:rPr>
          <w:rFonts w:hint="eastAsia" w:ascii="宋体" w:hAnsi="宋体"/>
          <w:b/>
          <w:color w:val="auto"/>
          <w:sz w:val="24"/>
          <w:szCs w:val="20"/>
          <w:highlight w:val="none"/>
        </w:rPr>
      </w:pPr>
      <w:r>
        <w:rPr>
          <w:rFonts w:hint="eastAsia" w:ascii="宋体" w:hAnsi="宋体"/>
          <w:b/>
          <w:bCs/>
          <w:color w:val="auto"/>
          <w:sz w:val="24"/>
          <w:szCs w:val="20"/>
          <w:highlight w:val="none"/>
        </w:rPr>
        <w:t xml:space="preserve">14. </w:t>
      </w:r>
      <w:r>
        <w:rPr>
          <w:rFonts w:hint="eastAsia" w:ascii="Calibri" w:hAnsi="Calibri"/>
          <w:b/>
          <w:color w:val="auto"/>
          <w:sz w:val="24"/>
          <w:szCs w:val="20"/>
          <w:highlight w:val="none"/>
        </w:rPr>
        <w:t>售后</w:t>
      </w:r>
      <w:r>
        <w:rPr>
          <w:rFonts w:hint="eastAsia" w:ascii="宋体" w:hAnsi="宋体"/>
          <w:b/>
          <w:color w:val="auto"/>
          <w:sz w:val="24"/>
          <w:szCs w:val="20"/>
          <w:highlight w:val="none"/>
        </w:rPr>
        <w:t>服务</w:t>
      </w:r>
    </w:p>
    <w:p w14:paraId="6D5A79CE">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14.1 除项目不涉及或采购活动中明确约定无须承担外，乙方还应提供下列服务：</w:t>
      </w:r>
    </w:p>
    <w:p w14:paraId="660BD2A9">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124FC7BC">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D4DF00C">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（3）在</w:t>
      </w:r>
      <w:r>
        <w:rPr>
          <w:rFonts w:hint="eastAsia" w:ascii="宋体" w:hAnsi="宋体" w:cs="宋体"/>
          <w:b/>
          <w:bCs/>
          <w:color w:val="auto"/>
          <w:szCs w:val="15"/>
          <w:highlight w:val="none"/>
        </w:rPr>
        <w:t>【政府采购合同专用条款】</w:t>
      </w:r>
      <w:r>
        <w:rPr>
          <w:rFonts w:hint="eastAsia" w:ascii="宋体" w:hAnsi="宋体"/>
          <w:color w:val="auto"/>
          <w:szCs w:val="21"/>
          <w:highlight w:val="none"/>
        </w:rPr>
        <w:t>约定的期限内对所有的货物实施运行监督、维修，但前提条件是该服务并不能免除乙方在质量保证期内所承担的义务；</w:t>
      </w:r>
    </w:p>
    <w:p w14:paraId="2A364284">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（4）在制造商所在地或指定现场就货物的安装、启动、运营、维护、废弃处置等对甲方操作人员进行培训</w:t>
      </w:r>
      <w:r>
        <w:rPr>
          <w:rFonts w:hint="eastAsia" w:ascii="宋体" w:hAnsi="宋体" w:cs="宋体"/>
          <w:color w:val="auto"/>
          <w:szCs w:val="15"/>
          <w:highlight w:val="none"/>
        </w:rPr>
        <w:t>；</w:t>
      </w:r>
    </w:p>
    <w:p w14:paraId="095087A0">
      <w:pPr>
        <w:pStyle w:val="21"/>
        <w:spacing w:line="360" w:lineRule="auto"/>
        <w:ind w:firstLine="420"/>
        <w:rPr>
          <w:rFonts w:hint="eastAsia" w:ascii="宋体" w:hAnsi="宋体" w:eastAsia="宋体" w:cs="宋体"/>
          <w:color w:val="auto"/>
          <w:sz w:val="21"/>
          <w:highlight w:val="none"/>
        </w:rPr>
      </w:pPr>
      <w:r>
        <w:rPr>
          <w:rFonts w:hint="eastAsia" w:ascii="宋体" w:hAnsi="宋体" w:eastAsia="宋体" w:cs="宋体"/>
          <w:color w:val="auto"/>
          <w:sz w:val="21"/>
          <w:highlight w:val="none"/>
        </w:rPr>
        <w:t>（5）依照法律、行政法规的规定或者按照</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约定，货物在有效使用年限届满后应予回收的，乙方负有自行或者委托第三人对货物予以回收的义务；</w:t>
      </w:r>
    </w:p>
    <w:p w14:paraId="5B667D08">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25E875D7">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14.2 乙方提供的售后服务的费用已包含在合同价款中，甲方不再另行支付。</w:t>
      </w:r>
    </w:p>
    <w:p w14:paraId="434C54B2">
      <w:pPr>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15. 违约责任</w:t>
      </w:r>
    </w:p>
    <w:p w14:paraId="5F16EFAD">
      <w:pPr>
        <w:adjustRightInd w:val="0"/>
        <w:snapToGrid w:val="0"/>
        <w:spacing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15.1质量瑕疵的违约责任</w:t>
      </w:r>
    </w:p>
    <w:p w14:paraId="1940B9F8">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乙方提供的产品不符合合同约定的质量标准或存在产品质量缺陷，甲方有权要求乙方根据</w:t>
      </w:r>
      <w:r>
        <w:rPr>
          <w:rFonts w:hint="eastAsia" w:ascii="宋体" w:hAnsi="宋体"/>
          <w:b/>
          <w:color w:val="auto"/>
          <w:szCs w:val="21"/>
          <w:highlight w:val="none"/>
        </w:rPr>
        <w:t>【政府采购合同专用条款】</w:t>
      </w:r>
      <w:r>
        <w:rPr>
          <w:rFonts w:hint="eastAsia" w:ascii="宋体" w:hAnsi="宋体"/>
          <w:bCs/>
          <w:color w:val="auto"/>
          <w:szCs w:val="21"/>
          <w:highlight w:val="none"/>
        </w:rPr>
        <w:t>要求</w:t>
      </w:r>
      <w:r>
        <w:rPr>
          <w:rFonts w:hint="eastAsia" w:ascii="宋体" w:hAnsi="宋体"/>
          <w:color w:val="auto"/>
          <w:szCs w:val="21"/>
          <w:highlight w:val="none"/>
        </w:rPr>
        <w:t>及时修理、重作、更换，并承担由此给甲方造成的损失。</w:t>
      </w:r>
    </w:p>
    <w:p w14:paraId="1560E417">
      <w:pPr>
        <w:autoSpaceDE w:val="0"/>
        <w:autoSpaceDN w:val="0"/>
        <w:adjustRightInd w:val="0"/>
        <w:snapToGrid w:val="0"/>
        <w:spacing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15.2 迟延交货的违约责任</w:t>
      </w:r>
    </w:p>
    <w:p w14:paraId="6B8B8CCF">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B949C25">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（2）如果乙方没有按照合同规定的时间交货和提供相关服务，甲方有权从货款中扣除误期赔偿费而不影响合同项下的其他补救方法，赔偿费按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规定执行。如果涉及公共利益，且赔偿金额无法弥补公共利益损失，甲方可要求继续履行或者采取其他补救措施。</w:t>
      </w:r>
    </w:p>
    <w:p w14:paraId="608CF890">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15.3 迟延支付的违约责任</w:t>
      </w:r>
    </w:p>
    <w:p w14:paraId="30C7399A">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08C5BC31">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bCs/>
          <w:color w:val="auto"/>
          <w:szCs w:val="21"/>
          <w:highlight w:val="none"/>
        </w:rPr>
        <w:t>15.4其他违约责任根据项目实际需要按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69AFEB02">
      <w:pPr>
        <w:numPr>
          <w:ilvl w:val="0"/>
          <w:numId w:val="8"/>
        </w:numPr>
        <w:autoSpaceDE w:val="0"/>
        <w:autoSpaceDN w:val="0"/>
        <w:adjustRightInd w:val="0"/>
        <w:snapToGrid w:val="0"/>
        <w:spacing w:line="360" w:lineRule="auto"/>
        <w:jc w:val="left"/>
        <w:rPr>
          <w:rFonts w:hint="eastAsia" w:ascii="宋体" w:hAnsi="宋体"/>
          <w:b/>
          <w:color w:val="auto"/>
          <w:sz w:val="24"/>
          <w:szCs w:val="20"/>
          <w:highlight w:val="none"/>
        </w:rPr>
      </w:pPr>
      <w:r>
        <w:rPr>
          <w:rFonts w:hint="eastAsia" w:ascii="宋体" w:hAnsi="宋体"/>
          <w:b/>
          <w:color w:val="auto"/>
          <w:sz w:val="24"/>
          <w:szCs w:val="20"/>
          <w:highlight w:val="none"/>
        </w:rPr>
        <w:t>合同变更、中止与终止</w:t>
      </w:r>
    </w:p>
    <w:p w14:paraId="60683CAE">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 xml:space="preserve">    16.1合同的变更</w:t>
      </w:r>
    </w:p>
    <w:p w14:paraId="72CDFB99">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政府采购合同履行中，在不改变合同其他条款的前提下，甲方可以在合同价款10%的范围内追加与合同标的相同的货物，并就此与乙方协商一致后签订补充协议。</w:t>
      </w:r>
    </w:p>
    <w:p w14:paraId="63B04A22">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16.2合同的中止</w:t>
      </w:r>
    </w:p>
    <w:p w14:paraId="562E6650">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（1）合同履行过程中因供应商就采购文件、采购过程或结果提起投诉的，甲方认为有必要的，可以中止合同的履行。</w:t>
      </w:r>
    </w:p>
    <w:p w14:paraId="30309ECA">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EF07976">
      <w:pPr>
        <w:pStyle w:val="21"/>
        <w:spacing w:line="360" w:lineRule="auto"/>
        <w:ind w:firstLine="420"/>
        <w:jc w:val="both"/>
        <w:rPr>
          <w:rFonts w:hint="eastAsia"/>
          <w:color w:val="auto"/>
          <w:sz w:val="21"/>
          <w:highlight w:val="none"/>
        </w:rPr>
      </w:pPr>
      <w:r>
        <w:rPr>
          <w:rFonts w:hint="eastAsia" w:ascii="宋体" w:hAnsi="宋体" w:eastAsia="宋体" w:cs="宋体"/>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55A28AF9">
      <w:pPr>
        <w:snapToGrid w:val="0"/>
        <w:spacing w:line="360" w:lineRule="auto"/>
        <w:ind w:firstLine="420" w:firstLineChars="200"/>
        <w:jc w:val="left"/>
        <w:rPr>
          <w:rFonts w:ascii="Calibri" w:hAnsi="Calibri"/>
          <w:color w:val="auto"/>
          <w:szCs w:val="20"/>
          <w:highlight w:val="none"/>
        </w:rPr>
      </w:pPr>
      <w:r>
        <w:rPr>
          <w:rFonts w:hint="eastAsia" w:ascii="宋体" w:hAnsi="宋体"/>
          <w:color w:val="auto"/>
          <w:szCs w:val="21"/>
          <w:highlight w:val="none"/>
        </w:rPr>
        <w:t>（4）甲方不得以行政区划调整、政府换届、机构或者职能调整以及相关责任人更替为由中止合同。</w:t>
      </w:r>
    </w:p>
    <w:p w14:paraId="1CBBDBDF">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16.3合同的终止</w:t>
      </w:r>
    </w:p>
    <w:p w14:paraId="093E9171">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（1）合同因有效期限届满而终止；</w:t>
      </w:r>
    </w:p>
    <w:p w14:paraId="7ED41F0E">
      <w:pPr>
        <w:snapToGrid w:val="0"/>
        <w:spacing w:line="360" w:lineRule="auto"/>
        <w:ind w:firstLine="420" w:firstLineChars="200"/>
        <w:rPr>
          <w:rFonts w:hint="eastAsia" w:ascii="宋体" w:hAnsi="宋体" w:cs="宋体"/>
          <w:color w:val="auto"/>
          <w:szCs w:val="21"/>
          <w:highlight w:val="none"/>
        </w:rPr>
      </w:pPr>
      <w:r>
        <w:rPr>
          <w:rFonts w:hint="eastAsia" w:ascii="宋体" w:hAnsi="宋体"/>
          <w:color w:val="auto"/>
          <w:szCs w:val="21"/>
          <w:highlight w:val="none"/>
        </w:rPr>
        <w:t>（2）乙方未按合同约定履行，构成根本性违约的，甲方有权终止合同，</w:t>
      </w:r>
      <w:r>
        <w:rPr>
          <w:rFonts w:hint="eastAsia" w:ascii="宋体" w:hAnsi="宋体" w:cs="宋体"/>
          <w:color w:val="auto"/>
          <w:szCs w:val="21"/>
          <w:highlight w:val="none"/>
        </w:rPr>
        <w:t>并追究乙方的违约责任</w:t>
      </w:r>
      <w:r>
        <w:rPr>
          <w:rFonts w:hint="eastAsia" w:ascii="宋体" w:hAnsi="宋体"/>
          <w:color w:val="auto"/>
          <w:szCs w:val="21"/>
          <w:highlight w:val="none"/>
        </w:rPr>
        <w:t>。</w:t>
      </w:r>
    </w:p>
    <w:p w14:paraId="5950F505">
      <w:pPr>
        <w:pStyle w:val="21"/>
        <w:spacing w:line="360" w:lineRule="auto"/>
        <w:rPr>
          <w:rFonts w:hint="eastAsia" w:ascii="宋体" w:hAnsi="宋体"/>
          <w:color w:val="auto"/>
          <w:highlight w:val="none"/>
        </w:rPr>
      </w:pPr>
      <w:r>
        <w:rPr>
          <w:rFonts w:hint="eastAsia" w:ascii="宋体" w:hAnsi="宋体"/>
          <w:color w:val="auto"/>
          <w:highlight w:val="none"/>
        </w:rPr>
        <w:t xml:space="preserve">16.4 </w:t>
      </w:r>
      <w:r>
        <w:rPr>
          <w:rFonts w:hint="eastAsia" w:ascii="宋体" w:hAnsi="宋体" w:eastAsia="宋体" w:cs="Times New Roman"/>
          <w:color w:val="auto"/>
          <w:kern w:val="2"/>
          <w:sz w:val="21"/>
          <w:highlight w:val="none"/>
        </w:rPr>
        <w:t>涉及国家利益、社会公共利益的情形</w:t>
      </w:r>
    </w:p>
    <w:p w14:paraId="62ACFA7D">
      <w:pPr>
        <w:pStyle w:val="21"/>
        <w:spacing w:line="360" w:lineRule="auto"/>
        <w:ind w:firstLine="420"/>
        <w:jc w:val="both"/>
        <w:rPr>
          <w:rFonts w:hint="eastAsia"/>
          <w:color w:val="auto"/>
          <w:sz w:val="21"/>
          <w:highlight w:val="none"/>
        </w:rPr>
      </w:pPr>
      <w:r>
        <w:rPr>
          <w:rFonts w:hint="eastAsia" w:ascii="宋体" w:hAnsi="宋体" w:eastAsia="宋体" w:cs="宋体"/>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4576D5CD">
      <w:p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17. 合同分包</w:t>
      </w:r>
    </w:p>
    <w:p w14:paraId="60EA43CA">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17.1 乙方不得将合同转包给其他供应商。涉及合同分包的，乙方应根据采购文件和投标（响应）文件规定进行合同分包。</w:t>
      </w:r>
    </w:p>
    <w:p w14:paraId="51464D75">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17.2 乙方执行政府采购政策向中小企业依法分包的，乙方应当按采购文件和投标（响应）文件签订分包意向协议，分包意向协议属于本合同组成部分。</w:t>
      </w:r>
    </w:p>
    <w:p w14:paraId="7B73E871">
      <w:p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18. 不可抗力</w:t>
      </w:r>
    </w:p>
    <w:p w14:paraId="5DB40809">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18.1 不可抗力是指合同双方不能预见、不能避免且不能克服的客观情况。</w:t>
      </w:r>
    </w:p>
    <w:p w14:paraId="22683EF8">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18.2 任何一方对由于不可抗力造成的部分或全部不能履行合同不承担违约责任。但迟延履行后发生不可抗力的，不能免除责任。</w:t>
      </w:r>
    </w:p>
    <w:p w14:paraId="51DB8CEB">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CCD6739">
      <w:pPr>
        <w:autoSpaceDE w:val="0"/>
        <w:autoSpaceDN w:val="0"/>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19. 解决争议的方法</w:t>
      </w:r>
    </w:p>
    <w:p w14:paraId="4E902F0B">
      <w:pPr>
        <w:pStyle w:val="21"/>
        <w:spacing w:line="360" w:lineRule="auto"/>
        <w:ind w:firstLine="420"/>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31618405">
      <w:pPr>
        <w:pStyle w:val="21"/>
        <w:spacing w:line="360" w:lineRule="auto"/>
        <w:ind w:firstLine="420"/>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19.2 选择仲裁的，应在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中明确仲裁机构及仲裁地；通过诉讼方式解决的，可以在</w:t>
      </w:r>
      <w:r>
        <w:rPr>
          <w:rFonts w:hint="eastAsia" w:ascii="宋体" w:hAnsi="宋体" w:eastAsia="宋体" w:cs="宋体"/>
          <w:b/>
          <w:bCs/>
          <w:color w:val="auto"/>
          <w:sz w:val="21"/>
          <w:highlight w:val="none"/>
        </w:rPr>
        <w:t>【政府采购合同专用条款】</w:t>
      </w:r>
      <w:r>
        <w:rPr>
          <w:rFonts w:hint="eastAsia" w:ascii="宋体" w:hAnsi="宋体" w:eastAsia="宋体" w:cs="宋体"/>
          <w:color w:val="auto"/>
          <w:sz w:val="21"/>
          <w:highlight w:val="none"/>
        </w:rPr>
        <w:t>中进一步约定选择与争议有实际联系的地点的人民法院管辖，但管辖法院的约定不得违反级别管辖和专属管辖的规定。</w:t>
      </w:r>
    </w:p>
    <w:p w14:paraId="7A16134A">
      <w:pPr>
        <w:pStyle w:val="21"/>
        <w:spacing w:line="360" w:lineRule="auto"/>
        <w:ind w:firstLine="420"/>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19.3 如甲乙双方有争议的事项不影响合同其他部分的履行，在争议解决期间，合同其他部分应当继续履行。</w:t>
      </w:r>
    </w:p>
    <w:p w14:paraId="5CFD72B9">
      <w:pPr>
        <w:autoSpaceDE w:val="0"/>
        <w:autoSpaceDN w:val="0"/>
        <w:adjustRightInd w:val="0"/>
        <w:snapToGrid w:val="0"/>
        <w:spacing w:line="360" w:lineRule="auto"/>
        <w:jc w:val="left"/>
        <w:rPr>
          <w:rFonts w:hint="eastAsia" w:ascii="宋体" w:hAnsi="宋体"/>
          <w:color w:val="auto"/>
          <w:sz w:val="24"/>
          <w:szCs w:val="20"/>
          <w:highlight w:val="none"/>
        </w:rPr>
      </w:pPr>
      <w:r>
        <w:rPr>
          <w:rFonts w:hint="eastAsia" w:ascii="宋体" w:hAnsi="宋体"/>
          <w:b/>
          <w:color w:val="auto"/>
          <w:sz w:val="24"/>
          <w:szCs w:val="20"/>
          <w:highlight w:val="none"/>
        </w:rPr>
        <w:t>20. 政府采购政策</w:t>
      </w:r>
    </w:p>
    <w:p w14:paraId="6A6B2E69">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 xml:space="preserve">20.1 </w:t>
      </w:r>
      <w:r>
        <w:rPr>
          <w:rFonts w:hint="eastAsia" w:ascii="宋体" w:hAnsi="宋体" w:cs="宋体"/>
          <w:color w:val="auto"/>
          <w:szCs w:val="20"/>
          <w:highlight w:val="none"/>
          <w:lang w:val="en-GB"/>
        </w:rPr>
        <w:t>本合同应当按照规定执行政府采购政策。</w:t>
      </w:r>
    </w:p>
    <w:p w14:paraId="6A9579BC">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0.2 本合同依法执行政府采购政策的方式和内容，属于合同履约验收的范围。</w:t>
      </w:r>
      <w:r>
        <w:rPr>
          <w:rFonts w:hint="eastAsia" w:ascii="宋体" w:hAnsi="宋体" w:cs="宋体"/>
          <w:color w:val="auto"/>
          <w:szCs w:val="20"/>
          <w:highlight w:val="none"/>
        </w:rPr>
        <w:t>甲乙双方</w:t>
      </w:r>
      <w:r>
        <w:rPr>
          <w:rFonts w:hint="eastAsia" w:ascii="宋体" w:hAnsi="宋体" w:cs="宋体"/>
          <w:color w:val="auto"/>
          <w:szCs w:val="20"/>
          <w:highlight w:val="none"/>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601482F6">
      <w:pPr>
        <w:spacing w:line="360" w:lineRule="auto"/>
        <w:ind w:firstLine="420" w:firstLineChars="200"/>
        <w:rPr>
          <w:rFonts w:ascii="Calibri" w:hAnsi="Calibri"/>
          <w:color w:val="auto"/>
          <w:szCs w:val="24"/>
          <w:highlight w:val="none"/>
        </w:rPr>
      </w:pPr>
      <w:r>
        <w:rPr>
          <w:rFonts w:ascii="宋体" w:hAnsi="宋体"/>
          <w:color w:val="auto"/>
          <w:szCs w:val="21"/>
          <w:highlight w:val="none"/>
        </w:rPr>
        <w:t>2</w:t>
      </w:r>
      <w:r>
        <w:rPr>
          <w:rFonts w:hint="eastAsia" w:ascii="宋体" w:hAnsi="宋体"/>
          <w:color w:val="auto"/>
          <w:szCs w:val="21"/>
          <w:highlight w:val="none"/>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71AB037">
      <w:pPr>
        <w:autoSpaceDE w:val="0"/>
        <w:autoSpaceDN w:val="0"/>
        <w:adjustRightInd w:val="0"/>
        <w:snapToGrid w:val="0"/>
        <w:spacing w:line="360" w:lineRule="auto"/>
        <w:jc w:val="left"/>
        <w:rPr>
          <w:rFonts w:hint="eastAsia" w:ascii="宋体" w:hAnsi="宋体"/>
          <w:b/>
          <w:color w:val="auto"/>
          <w:sz w:val="24"/>
          <w:szCs w:val="20"/>
          <w:highlight w:val="none"/>
        </w:rPr>
      </w:pPr>
      <w:r>
        <w:rPr>
          <w:rFonts w:hint="eastAsia" w:ascii="宋体" w:hAnsi="宋体"/>
          <w:b/>
          <w:color w:val="auto"/>
          <w:sz w:val="24"/>
          <w:szCs w:val="20"/>
          <w:highlight w:val="none"/>
        </w:rPr>
        <w:t>21. 法律适用</w:t>
      </w:r>
    </w:p>
    <w:p w14:paraId="60198B16">
      <w:pPr>
        <w:pStyle w:val="21"/>
        <w:spacing w:line="360" w:lineRule="auto"/>
        <w:ind w:firstLine="420"/>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21.1 本合同的订立、生效、解释、履行及与本合同有关的争议解决，均适用法律、行政法规。</w:t>
      </w:r>
    </w:p>
    <w:p w14:paraId="56A37E8C">
      <w:pPr>
        <w:pStyle w:val="21"/>
        <w:spacing w:line="360" w:lineRule="auto"/>
        <w:ind w:firstLine="420"/>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21.2 本合同条款与法律、行政法规的强制性规定不一致的，双方当事人应按照法律、行政法规的强制性规定修改本合同的相关条款。</w:t>
      </w:r>
    </w:p>
    <w:p w14:paraId="068E6A5B">
      <w:pPr>
        <w:numPr>
          <w:ilvl w:val="255"/>
          <w:numId w:val="0"/>
        </w:numPr>
        <w:autoSpaceDE w:val="0"/>
        <w:autoSpaceDN w:val="0"/>
        <w:adjustRightInd w:val="0"/>
        <w:snapToGrid w:val="0"/>
        <w:spacing w:line="360" w:lineRule="auto"/>
        <w:jc w:val="left"/>
        <w:rPr>
          <w:rFonts w:hint="eastAsia" w:ascii="宋体" w:hAnsi="宋体"/>
          <w:b/>
          <w:color w:val="auto"/>
          <w:sz w:val="24"/>
          <w:szCs w:val="20"/>
          <w:highlight w:val="none"/>
        </w:rPr>
      </w:pPr>
      <w:r>
        <w:rPr>
          <w:rFonts w:hint="eastAsia" w:ascii="宋体" w:hAnsi="宋体"/>
          <w:b/>
          <w:color w:val="auto"/>
          <w:sz w:val="24"/>
          <w:szCs w:val="20"/>
          <w:highlight w:val="none"/>
        </w:rPr>
        <w:t>22. 通知</w:t>
      </w:r>
    </w:p>
    <w:p w14:paraId="6848E671">
      <w:pPr>
        <w:pStyle w:val="21"/>
        <w:spacing w:line="360" w:lineRule="auto"/>
        <w:ind w:firstLine="420"/>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22.1 本合同任何一方向对方发出的通知、信件、数据电文等，应当发送至本合同第一部分《政府采购合同协议书》所约定的通讯地址、联系人、联系电话或电子邮箱。</w:t>
      </w:r>
    </w:p>
    <w:p w14:paraId="008D5F49">
      <w:pPr>
        <w:pStyle w:val="21"/>
        <w:spacing w:line="360" w:lineRule="auto"/>
        <w:ind w:firstLine="0" w:firstLineChars="0"/>
        <w:jc w:val="both"/>
        <w:rPr>
          <w:rFonts w:hint="eastAsia"/>
          <w:color w:val="auto"/>
          <w:sz w:val="21"/>
          <w:highlight w:val="none"/>
        </w:rPr>
      </w:pPr>
      <w:r>
        <w:rPr>
          <w:rFonts w:hint="eastAsia" w:ascii="宋体" w:hAnsi="宋体" w:eastAsia="宋体" w:cs="宋体"/>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05F8FDBD">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22.3本合同一方给另一方的通知均应采用书面形式，传真或快递送到本合同中规定的对方的地址和办理签收手续。</w:t>
      </w:r>
    </w:p>
    <w:p w14:paraId="6828FCE3">
      <w:pPr>
        <w:adjustRightInd w:val="0"/>
        <w:snapToGrid w:val="0"/>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22.4通知以送达之日或通知书中规定的生效之日起生效，两者中以较迟之日为准。</w:t>
      </w:r>
    </w:p>
    <w:p w14:paraId="19F6AD50">
      <w:pPr>
        <w:numPr>
          <w:ilvl w:val="0"/>
          <w:numId w:val="9"/>
        </w:numPr>
        <w:adjustRightInd w:val="0"/>
        <w:snapToGrid w:val="0"/>
        <w:spacing w:line="360" w:lineRule="auto"/>
        <w:jc w:val="left"/>
        <w:rPr>
          <w:rFonts w:hint="eastAsia" w:ascii="宋体" w:hAnsi="宋体"/>
          <w:b/>
          <w:bCs/>
          <w:color w:val="auto"/>
          <w:sz w:val="24"/>
          <w:szCs w:val="20"/>
          <w:highlight w:val="none"/>
        </w:rPr>
      </w:pPr>
      <w:r>
        <w:rPr>
          <w:rFonts w:hint="eastAsia" w:ascii="宋体" w:hAnsi="宋体"/>
          <w:b/>
          <w:bCs/>
          <w:color w:val="auto"/>
          <w:sz w:val="24"/>
          <w:szCs w:val="20"/>
          <w:highlight w:val="none"/>
        </w:rPr>
        <w:t>合同未尽事项</w:t>
      </w:r>
    </w:p>
    <w:p w14:paraId="7977D713">
      <w:pPr>
        <w:adjustRightInd w:val="0"/>
        <w:snapToGrid w:val="0"/>
        <w:spacing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23.1合同未尽事项见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56BA8F9">
      <w:pPr>
        <w:adjustRightInd w:val="0"/>
        <w:snapToGrid w:val="0"/>
        <w:spacing w:line="360" w:lineRule="auto"/>
        <w:jc w:val="left"/>
        <w:rPr>
          <w:rFonts w:hint="eastAsia" w:ascii="黑体" w:hAnsi="华文中宋" w:eastAsia="黑体"/>
          <w:color w:val="auto"/>
          <w:sz w:val="28"/>
          <w:szCs w:val="28"/>
          <w:highlight w:val="none"/>
        </w:rPr>
      </w:pPr>
      <w:r>
        <w:rPr>
          <w:rFonts w:hint="eastAsia" w:ascii="宋体" w:hAnsi="宋体"/>
          <w:bCs/>
          <w:color w:val="auto"/>
          <w:szCs w:val="21"/>
          <w:highlight w:val="none"/>
        </w:rPr>
        <w:t xml:space="preserve">    23.2 合同附件与合同正文具有同等的法律效力。</w:t>
      </w:r>
      <w:bookmarkStart w:id="5" w:name="_Toc20313"/>
    </w:p>
    <w:p w14:paraId="77775497">
      <w:pPr>
        <w:adjustRightInd w:val="0"/>
        <w:snapToGrid w:val="0"/>
        <w:spacing w:line="360" w:lineRule="auto"/>
        <w:jc w:val="center"/>
        <w:rPr>
          <w:rFonts w:hint="eastAsia" w:ascii="黑体" w:hAnsi="华文中宋" w:eastAsia="黑体"/>
          <w:color w:val="auto"/>
          <w:sz w:val="28"/>
          <w:szCs w:val="28"/>
          <w:highlight w:val="none"/>
        </w:rPr>
      </w:pPr>
      <w:r>
        <w:rPr>
          <w:rFonts w:hint="eastAsia" w:ascii="黑体" w:hAnsi="华文中宋" w:eastAsia="黑体"/>
          <w:color w:val="auto"/>
          <w:sz w:val="28"/>
          <w:szCs w:val="28"/>
          <w:highlight w:val="none"/>
        </w:rPr>
        <w:br w:type="page"/>
      </w:r>
    </w:p>
    <w:p w14:paraId="1C351E40">
      <w:pPr>
        <w:pStyle w:val="2"/>
        <w:adjustRightInd w:val="0"/>
        <w:snapToGrid w:val="0"/>
        <w:spacing w:before="0" w:after="0" w:line="360" w:lineRule="auto"/>
        <w:jc w:val="center"/>
        <w:rPr>
          <w:rFonts w:hint="eastAsia" w:ascii="黑体" w:hAnsi="华文中宋"/>
          <w:b w:val="0"/>
          <w:bCs w:val="0"/>
          <w:color w:val="auto"/>
          <w:sz w:val="28"/>
          <w:szCs w:val="28"/>
          <w:highlight w:val="none"/>
        </w:rPr>
      </w:pPr>
      <w:r>
        <w:rPr>
          <w:rFonts w:hint="eastAsia" w:ascii="黑体" w:hAnsi="华文中宋"/>
          <w:b w:val="0"/>
          <w:bCs w:val="0"/>
          <w:color w:val="auto"/>
          <w:sz w:val="28"/>
          <w:szCs w:val="28"/>
          <w:highlight w:val="none"/>
        </w:rPr>
        <w:t>第三节 政府采购合同专用条款</w:t>
      </w:r>
      <w:bookmarkEnd w:id="5"/>
    </w:p>
    <w:tbl>
      <w:tblPr>
        <w:tblStyle w:val="12"/>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258A7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4CA84BC">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22E8DA34">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第1.2（6）项</w:t>
            </w:r>
          </w:p>
        </w:tc>
        <w:tc>
          <w:tcPr>
            <w:tcW w:w="1742" w:type="dxa"/>
            <w:vAlign w:val="center"/>
          </w:tcPr>
          <w:p w14:paraId="3D6243DB">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联合体具体要求</w:t>
            </w:r>
          </w:p>
        </w:tc>
        <w:tc>
          <w:tcPr>
            <w:tcW w:w="5170" w:type="dxa"/>
            <w:vAlign w:val="center"/>
          </w:tcPr>
          <w:p w14:paraId="76604FEB">
            <w:pPr>
              <w:adjustRightInd w:val="0"/>
              <w:snapToGrid w:val="0"/>
              <w:spacing w:line="360" w:lineRule="auto"/>
              <w:jc w:val="left"/>
              <w:rPr>
                <w:rFonts w:hint="eastAsia" w:ascii="宋体" w:hAnsi="宋体"/>
                <w:color w:val="auto"/>
                <w:szCs w:val="21"/>
                <w:highlight w:val="none"/>
              </w:rPr>
            </w:pPr>
          </w:p>
        </w:tc>
      </w:tr>
      <w:tr w14:paraId="060C5A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7F9FE032">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0C893C6B">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第1.2（7）项</w:t>
            </w:r>
          </w:p>
        </w:tc>
        <w:tc>
          <w:tcPr>
            <w:tcW w:w="1742" w:type="dxa"/>
            <w:vAlign w:val="center"/>
          </w:tcPr>
          <w:p w14:paraId="132F5EAD">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其他术语解释</w:t>
            </w:r>
          </w:p>
        </w:tc>
        <w:tc>
          <w:tcPr>
            <w:tcW w:w="5170" w:type="dxa"/>
            <w:vAlign w:val="center"/>
          </w:tcPr>
          <w:p w14:paraId="3BDF2905">
            <w:pPr>
              <w:adjustRightInd w:val="0"/>
              <w:snapToGrid w:val="0"/>
              <w:spacing w:line="360" w:lineRule="auto"/>
              <w:jc w:val="left"/>
              <w:rPr>
                <w:rFonts w:hint="eastAsia" w:ascii="宋体" w:hAnsi="宋体"/>
                <w:color w:val="auto"/>
                <w:szCs w:val="21"/>
                <w:highlight w:val="none"/>
              </w:rPr>
            </w:pPr>
          </w:p>
        </w:tc>
      </w:tr>
      <w:tr w14:paraId="6DEB3F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1F17E94">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3E24683C">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第4.4款</w:t>
            </w:r>
          </w:p>
        </w:tc>
        <w:tc>
          <w:tcPr>
            <w:tcW w:w="1742" w:type="dxa"/>
            <w:vAlign w:val="center"/>
          </w:tcPr>
          <w:p w14:paraId="45FD25B6">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履约验收中甲方提出异议或作出说明的期限</w:t>
            </w:r>
          </w:p>
        </w:tc>
        <w:tc>
          <w:tcPr>
            <w:tcW w:w="5170" w:type="dxa"/>
            <w:vAlign w:val="center"/>
          </w:tcPr>
          <w:p w14:paraId="595F6F46">
            <w:pPr>
              <w:adjustRightInd w:val="0"/>
              <w:snapToGrid w:val="0"/>
              <w:spacing w:line="360" w:lineRule="auto"/>
              <w:jc w:val="left"/>
              <w:rPr>
                <w:rFonts w:hint="eastAsia" w:ascii="宋体" w:hAnsi="宋体"/>
                <w:color w:val="auto"/>
                <w:szCs w:val="21"/>
                <w:highlight w:val="none"/>
              </w:rPr>
            </w:pPr>
          </w:p>
        </w:tc>
      </w:tr>
      <w:tr w14:paraId="033611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34A9F7">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26A02FF0">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第4.6款</w:t>
            </w:r>
          </w:p>
        </w:tc>
        <w:tc>
          <w:tcPr>
            <w:tcW w:w="1742" w:type="dxa"/>
            <w:vAlign w:val="center"/>
          </w:tcPr>
          <w:p w14:paraId="2AF13F4B">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约定甲方承担的其他义务和责任</w:t>
            </w:r>
          </w:p>
        </w:tc>
        <w:tc>
          <w:tcPr>
            <w:tcW w:w="5170" w:type="dxa"/>
            <w:vAlign w:val="center"/>
          </w:tcPr>
          <w:p w14:paraId="370D5F6A">
            <w:pPr>
              <w:adjustRightInd w:val="0"/>
              <w:snapToGrid w:val="0"/>
              <w:spacing w:line="360" w:lineRule="auto"/>
              <w:jc w:val="left"/>
              <w:rPr>
                <w:rFonts w:hint="eastAsia" w:ascii="宋体" w:hAnsi="宋体"/>
                <w:color w:val="auto"/>
                <w:szCs w:val="21"/>
                <w:highlight w:val="none"/>
              </w:rPr>
            </w:pPr>
          </w:p>
        </w:tc>
      </w:tr>
      <w:tr w14:paraId="18675F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E9FE7FC">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2086CA24">
            <w:pPr>
              <w:snapToGrid w:val="0"/>
              <w:spacing w:line="360" w:lineRule="auto"/>
              <w:jc w:val="center"/>
              <w:rPr>
                <w:rFonts w:ascii="Calibri" w:hAnsi="Calibri"/>
                <w:color w:val="auto"/>
                <w:szCs w:val="20"/>
                <w:highlight w:val="none"/>
              </w:rPr>
            </w:pPr>
            <w:r>
              <w:rPr>
                <w:rFonts w:hint="eastAsia" w:ascii="宋体" w:hAnsi="宋体"/>
                <w:color w:val="auto"/>
                <w:szCs w:val="21"/>
                <w:highlight w:val="none"/>
              </w:rPr>
              <w:t>第5.4款</w:t>
            </w:r>
          </w:p>
        </w:tc>
        <w:tc>
          <w:tcPr>
            <w:tcW w:w="1742" w:type="dxa"/>
            <w:vAlign w:val="center"/>
          </w:tcPr>
          <w:p w14:paraId="332C35CD">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约定乙方承担的其他义务和责任</w:t>
            </w:r>
          </w:p>
        </w:tc>
        <w:tc>
          <w:tcPr>
            <w:tcW w:w="5170" w:type="dxa"/>
            <w:vAlign w:val="center"/>
          </w:tcPr>
          <w:p w14:paraId="14855390">
            <w:pPr>
              <w:adjustRightInd w:val="0"/>
              <w:snapToGrid w:val="0"/>
              <w:spacing w:line="360" w:lineRule="auto"/>
              <w:jc w:val="left"/>
              <w:rPr>
                <w:rFonts w:hint="eastAsia" w:ascii="宋体" w:hAnsi="宋体"/>
                <w:color w:val="auto"/>
                <w:szCs w:val="21"/>
                <w:highlight w:val="none"/>
              </w:rPr>
            </w:pPr>
          </w:p>
        </w:tc>
      </w:tr>
      <w:tr w14:paraId="1AE463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9A6C4F0">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5FC30722">
            <w:pPr>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第6.1款</w:t>
            </w:r>
          </w:p>
        </w:tc>
        <w:tc>
          <w:tcPr>
            <w:tcW w:w="1742" w:type="dxa"/>
            <w:vAlign w:val="center"/>
          </w:tcPr>
          <w:p w14:paraId="5631A21A">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履行合同义务的顺序</w:t>
            </w:r>
          </w:p>
        </w:tc>
        <w:tc>
          <w:tcPr>
            <w:tcW w:w="5170" w:type="dxa"/>
            <w:vAlign w:val="center"/>
          </w:tcPr>
          <w:p w14:paraId="129A6343">
            <w:pPr>
              <w:adjustRightInd w:val="0"/>
              <w:snapToGrid w:val="0"/>
              <w:spacing w:line="360" w:lineRule="auto"/>
              <w:jc w:val="left"/>
              <w:rPr>
                <w:rFonts w:hint="eastAsia" w:ascii="宋体" w:hAnsi="宋体"/>
                <w:color w:val="auto"/>
                <w:szCs w:val="21"/>
                <w:highlight w:val="none"/>
              </w:rPr>
            </w:pPr>
          </w:p>
        </w:tc>
      </w:tr>
      <w:tr w14:paraId="162248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9AA8706">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3DB0DB1C">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第7.1款</w:t>
            </w:r>
          </w:p>
        </w:tc>
        <w:tc>
          <w:tcPr>
            <w:tcW w:w="1742" w:type="dxa"/>
            <w:vAlign w:val="center"/>
          </w:tcPr>
          <w:p w14:paraId="74D5CF19">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包装特殊要求</w:t>
            </w:r>
          </w:p>
        </w:tc>
        <w:tc>
          <w:tcPr>
            <w:tcW w:w="5170" w:type="dxa"/>
            <w:vAlign w:val="center"/>
          </w:tcPr>
          <w:p w14:paraId="75087A41">
            <w:pPr>
              <w:spacing w:line="360" w:lineRule="auto"/>
              <w:rPr>
                <w:rFonts w:ascii="Calibri" w:hAnsi="Calibri"/>
                <w:color w:val="auto"/>
                <w:szCs w:val="20"/>
                <w:highlight w:val="none"/>
              </w:rPr>
            </w:pPr>
          </w:p>
        </w:tc>
      </w:tr>
      <w:tr w14:paraId="478A4D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AE1581">
            <w:pPr>
              <w:adjustRightInd w:val="0"/>
              <w:snapToGrid w:val="0"/>
              <w:spacing w:line="360" w:lineRule="auto"/>
              <w:jc w:val="center"/>
              <w:rPr>
                <w:rFonts w:hint="eastAsia" w:ascii="宋体" w:hAnsi="宋体"/>
                <w:color w:val="auto"/>
                <w:szCs w:val="21"/>
                <w:highlight w:val="none"/>
              </w:rPr>
            </w:pPr>
          </w:p>
        </w:tc>
        <w:tc>
          <w:tcPr>
            <w:tcW w:w="1742" w:type="dxa"/>
            <w:vAlign w:val="center"/>
          </w:tcPr>
          <w:p w14:paraId="2E85D73D">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指定现场</w:t>
            </w:r>
          </w:p>
        </w:tc>
        <w:tc>
          <w:tcPr>
            <w:tcW w:w="5170" w:type="dxa"/>
            <w:vAlign w:val="center"/>
          </w:tcPr>
          <w:p w14:paraId="0F278BF6">
            <w:pPr>
              <w:spacing w:line="360" w:lineRule="auto"/>
              <w:rPr>
                <w:rFonts w:ascii="Calibri" w:hAnsi="Calibri"/>
                <w:color w:val="auto"/>
                <w:szCs w:val="20"/>
                <w:highlight w:val="none"/>
              </w:rPr>
            </w:pPr>
          </w:p>
        </w:tc>
      </w:tr>
      <w:tr w14:paraId="4B9D4E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5DC9E25A">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63074B68">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第7.2款</w:t>
            </w:r>
          </w:p>
        </w:tc>
        <w:tc>
          <w:tcPr>
            <w:tcW w:w="1742" w:type="dxa"/>
            <w:vAlign w:val="center"/>
          </w:tcPr>
          <w:p w14:paraId="6C21D5C6">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运输特殊要求</w:t>
            </w:r>
          </w:p>
        </w:tc>
        <w:tc>
          <w:tcPr>
            <w:tcW w:w="5170" w:type="dxa"/>
            <w:vAlign w:val="center"/>
          </w:tcPr>
          <w:p w14:paraId="39AE2D17">
            <w:pPr>
              <w:spacing w:line="360" w:lineRule="auto"/>
              <w:rPr>
                <w:rFonts w:ascii="Calibri" w:hAnsi="Calibri"/>
                <w:color w:val="auto"/>
                <w:szCs w:val="20"/>
                <w:highlight w:val="none"/>
              </w:rPr>
            </w:pPr>
          </w:p>
        </w:tc>
      </w:tr>
      <w:tr w14:paraId="78ACD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39872684">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5EF09556">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第7.3款</w:t>
            </w:r>
          </w:p>
        </w:tc>
        <w:tc>
          <w:tcPr>
            <w:tcW w:w="1742" w:type="dxa"/>
            <w:vAlign w:val="center"/>
          </w:tcPr>
          <w:p w14:paraId="0C7E0F47">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保险要求</w:t>
            </w:r>
          </w:p>
        </w:tc>
        <w:tc>
          <w:tcPr>
            <w:tcW w:w="5170" w:type="dxa"/>
            <w:vAlign w:val="center"/>
          </w:tcPr>
          <w:p w14:paraId="0E6659BF">
            <w:pPr>
              <w:spacing w:line="360" w:lineRule="auto"/>
              <w:rPr>
                <w:rFonts w:ascii="Calibri" w:hAnsi="Calibri"/>
                <w:color w:val="auto"/>
                <w:szCs w:val="20"/>
                <w:highlight w:val="none"/>
              </w:rPr>
            </w:pPr>
          </w:p>
        </w:tc>
      </w:tr>
      <w:tr w14:paraId="218DF1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133F6C">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3BBA5FE0">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第8.2（1）项</w:t>
            </w:r>
          </w:p>
        </w:tc>
        <w:tc>
          <w:tcPr>
            <w:tcW w:w="1742" w:type="dxa"/>
            <w:vAlign w:val="center"/>
          </w:tcPr>
          <w:p w14:paraId="00CDF6AA">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质量保证期</w:t>
            </w:r>
          </w:p>
        </w:tc>
        <w:tc>
          <w:tcPr>
            <w:tcW w:w="5170" w:type="dxa"/>
            <w:vAlign w:val="center"/>
          </w:tcPr>
          <w:p w14:paraId="61CD4A2C">
            <w:pPr>
              <w:autoSpaceDE w:val="0"/>
              <w:autoSpaceDN w:val="0"/>
              <w:adjustRightInd w:val="0"/>
              <w:snapToGrid w:val="0"/>
              <w:spacing w:line="360" w:lineRule="auto"/>
              <w:ind w:firstLine="420" w:firstLineChars="200"/>
              <w:jc w:val="left"/>
              <w:rPr>
                <w:rFonts w:hint="eastAsia" w:ascii="宋体" w:hAnsi="宋体"/>
                <w:color w:val="auto"/>
                <w:szCs w:val="21"/>
                <w:highlight w:val="none"/>
              </w:rPr>
            </w:pPr>
          </w:p>
        </w:tc>
      </w:tr>
      <w:tr w14:paraId="7636AD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BDFABD8">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24BD9F0D">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第8.2（3）项</w:t>
            </w:r>
          </w:p>
        </w:tc>
        <w:tc>
          <w:tcPr>
            <w:tcW w:w="1742" w:type="dxa"/>
            <w:vAlign w:val="center"/>
          </w:tcPr>
          <w:p w14:paraId="2DAABAA3">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货物质量缺陷</w:t>
            </w:r>
          </w:p>
          <w:p w14:paraId="77C8532E">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响应时间</w:t>
            </w:r>
          </w:p>
        </w:tc>
        <w:tc>
          <w:tcPr>
            <w:tcW w:w="5170" w:type="dxa"/>
            <w:vAlign w:val="center"/>
          </w:tcPr>
          <w:p w14:paraId="586E7CF0">
            <w:pPr>
              <w:adjustRightInd w:val="0"/>
              <w:snapToGrid w:val="0"/>
              <w:spacing w:line="360" w:lineRule="auto"/>
              <w:jc w:val="left"/>
              <w:rPr>
                <w:rFonts w:hint="eastAsia" w:ascii="宋体" w:hAnsi="宋体"/>
                <w:color w:val="auto"/>
                <w:szCs w:val="21"/>
                <w:highlight w:val="none"/>
              </w:rPr>
            </w:pPr>
          </w:p>
        </w:tc>
      </w:tr>
      <w:tr w14:paraId="5E84D8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9988019">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第二节</w:t>
            </w:r>
          </w:p>
          <w:p w14:paraId="35ECC401">
            <w:pPr>
              <w:pStyle w:val="21"/>
              <w:spacing w:line="360" w:lineRule="auto"/>
              <w:ind w:firstLine="0" w:firstLineChars="0"/>
              <w:jc w:val="center"/>
              <w:rPr>
                <w:rFonts w:hint="eastAsia"/>
                <w:color w:val="auto"/>
                <w:highlight w:val="none"/>
              </w:rPr>
            </w:pPr>
            <w:r>
              <w:rPr>
                <w:rFonts w:hint="eastAsia" w:ascii="宋体" w:hAnsi="宋体" w:eastAsia="宋体" w:cs="宋体"/>
                <w:color w:val="auto"/>
                <w:highlight w:val="none"/>
              </w:rPr>
              <w:t>第11.1款</w:t>
            </w:r>
          </w:p>
        </w:tc>
        <w:tc>
          <w:tcPr>
            <w:tcW w:w="1742" w:type="dxa"/>
            <w:vAlign w:val="center"/>
          </w:tcPr>
          <w:p w14:paraId="1E8C7763">
            <w:pPr>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其他应当保密的信息</w:t>
            </w:r>
          </w:p>
        </w:tc>
        <w:tc>
          <w:tcPr>
            <w:tcW w:w="5170" w:type="dxa"/>
            <w:vAlign w:val="center"/>
          </w:tcPr>
          <w:p w14:paraId="64C3CC25">
            <w:pPr>
              <w:adjustRightInd w:val="0"/>
              <w:snapToGrid w:val="0"/>
              <w:spacing w:line="360" w:lineRule="auto"/>
              <w:jc w:val="left"/>
              <w:rPr>
                <w:rFonts w:hint="eastAsia" w:ascii="宋体" w:hAnsi="宋体"/>
                <w:color w:val="auto"/>
                <w:szCs w:val="21"/>
                <w:highlight w:val="none"/>
              </w:rPr>
            </w:pPr>
          </w:p>
        </w:tc>
      </w:tr>
      <w:tr w14:paraId="211680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34B5750">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685D0A78">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第12.2款</w:t>
            </w:r>
          </w:p>
        </w:tc>
        <w:tc>
          <w:tcPr>
            <w:tcW w:w="1742" w:type="dxa"/>
            <w:vAlign w:val="center"/>
          </w:tcPr>
          <w:p w14:paraId="3B216F68">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合同价款支付时间</w:t>
            </w:r>
          </w:p>
        </w:tc>
        <w:tc>
          <w:tcPr>
            <w:tcW w:w="5170" w:type="dxa"/>
            <w:vAlign w:val="center"/>
          </w:tcPr>
          <w:p w14:paraId="38E3A598">
            <w:pPr>
              <w:adjustRightInd w:val="0"/>
              <w:snapToGrid w:val="0"/>
              <w:spacing w:line="360" w:lineRule="auto"/>
              <w:jc w:val="left"/>
              <w:rPr>
                <w:rFonts w:hint="eastAsia" w:ascii="宋体" w:hAnsi="宋体"/>
                <w:color w:val="auto"/>
                <w:szCs w:val="21"/>
                <w:highlight w:val="none"/>
              </w:rPr>
            </w:pPr>
          </w:p>
        </w:tc>
      </w:tr>
      <w:tr w14:paraId="0E0EC8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ED5B709">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524F61A0">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第13.2款</w:t>
            </w:r>
          </w:p>
        </w:tc>
        <w:tc>
          <w:tcPr>
            <w:tcW w:w="1742" w:type="dxa"/>
            <w:vAlign w:val="center"/>
          </w:tcPr>
          <w:p w14:paraId="52F99D94">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履约保证金不予退还的情形</w:t>
            </w:r>
          </w:p>
        </w:tc>
        <w:tc>
          <w:tcPr>
            <w:tcW w:w="5170" w:type="dxa"/>
            <w:vAlign w:val="center"/>
          </w:tcPr>
          <w:p w14:paraId="2B3C287B">
            <w:pPr>
              <w:adjustRightInd w:val="0"/>
              <w:snapToGrid w:val="0"/>
              <w:spacing w:line="360" w:lineRule="auto"/>
              <w:jc w:val="left"/>
              <w:rPr>
                <w:rFonts w:hint="eastAsia" w:ascii="宋体" w:hAnsi="宋体"/>
                <w:color w:val="auto"/>
                <w:szCs w:val="21"/>
                <w:highlight w:val="none"/>
              </w:rPr>
            </w:pPr>
          </w:p>
        </w:tc>
      </w:tr>
      <w:tr w14:paraId="597D74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511B167">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75D033AA">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第13.3款</w:t>
            </w:r>
          </w:p>
        </w:tc>
        <w:tc>
          <w:tcPr>
            <w:tcW w:w="1742" w:type="dxa"/>
            <w:vAlign w:val="center"/>
          </w:tcPr>
          <w:p w14:paraId="5F5470FD">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履约保证金退还时间及逾期退还的违约金</w:t>
            </w:r>
          </w:p>
        </w:tc>
        <w:tc>
          <w:tcPr>
            <w:tcW w:w="5170" w:type="dxa"/>
            <w:vAlign w:val="center"/>
          </w:tcPr>
          <w:p w14:paraId="16492D16">
            <w:pPr>
              <w:adjustRightInd w:val="0"/>
              <w:snapToGrid w:val="0"/>
              <w:spacing w:line="360" w:lineRule="auto"/>
              <w:jc w:val="left"/>
              <w:rPr>
                <w:rFonts w:hint="eastAsia" w:ascii="宋体" w:hAnsi="宋体"/>
                <w:color w:val="auto"/>
                <w:szCs w:val="21"/>
                <w:highlight w:val="none"/>
              </w:rPr>
            </w:pPr>
          </w:p>
        </w:tc>
      </w:tr>
      <w:tr w14:paraId="1625F8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9B7BCB8">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503E561E">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第14.1（3）项</w:t>
            </w:r>
          </w:p>
        </w:tc>
        <w:tc>
          <w:tcPr>
            <w:tcW w:w="1742" w:type="dxa"/>
            <w:vAlign w:val="center"/>
          </w:tcPr>
          <w:p w14:paraId="648780C1">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运行监督、维修期限</w:t>
            </w:r>
          </w:p>
        </w:tc>
        <w:tc>
          <w:tcPr>
            <w:tcW w:w="5170" w:type="dxa"/>
            <w:vAlign w:val="center"/>
          </w:tcPr>
          <w:p w14:paraId="720BAD1C">
            <w:pPr>
              <w:adjustRightInd w:val="0"/>
              <w:snapToGrid w:val="0"/>
              <w:spacing w:line="360" w:lineRule="auto"/>
              <w:jc w:val="left"/>
              <w:rPr>
                <w:rFonts w:hint="eastAsia" w:ascii="宋体" w:hAnsi="宋体"/>
                <w:color w:val="auto"/>
                <w:szCs w:val="21"/>
                <w:highlight w:val="none"/>
              </w:rPr>
            </w:pPr>
          </w:p>
        </w:tc>
      </w:tr>
      <w:tr w14:paraId="6E390B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1A7507A">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0F570E03">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第14.1（5）项</w:t>
            </w:r>
          </w:p>
        </w:tc>
        <w:tc>
          <w:tcPr>
            <w:tcW w:w="1742" w:type="dxa"/>
            <w:vAlign w:val="center"/>
          </w:tcPr>
          <w:p w14:paraId="3821CDFD">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货物回收的约定</w:t>
            </w:r>
          </w:p>
        </w:tc>
        <w:tc>
          <w:tcPr>
            <w:tcW w:w="5170" w:type="dxa"/>
            <w:vAlign w:val="center"/>
          </w:tcPr>
          <w:p w14:paraId="600658C4">
            <w:pPr>
              <w:adjustRightInd w:val="0"/>
              <w:snapToGrid w:val="0"/>
              <w:spacing w:line="360" w:lineRule="auto"/>
              <w:jc w:val="left"/>
              <w:rPr>
                <w:rFonts w:hint="eastAsia" w:ascii="宋体" w:hAnsi="宋体"/>
                <w:color w:val="auto"/>
                <w:szCs w:val="21"/>
                <w:highlight w:val="none"/>
              </w:rPr>
            </w:pPr>
          </w:p>
        </w:tc>
      </w:tr>
      <w:tr w14:paraId="788259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D0A6E59">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69364FF5">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第14.1（6）项</w:t>
            </w:r>
          </w:p>
        </w:tc>
        <w:tc>
          <w:tcPr>
            <w:tcW w:w="1742" w:type="dxa"/>
            <w:vAlign w:val="center"/>
          </w:tcPr>
          <w:p w14:paraId="1E87BC15">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乙方提供的其他服务</w:t>
            </w:r>
          </w:p>
        </w:tc>
        <w:tc>
          <w:tcPr>
            <w:tcW w:w="5170" w:type="dxa"/>
            <w:vAlign w:val="center"/>
          </w:tcPr>
          <w:p w14:paraId="68F81C7F">
            <w:pPr>
              <w:adjustRightInd w:val="0"/>
              <w:snapToGrid w:val="0"/>
              <w:spacing w:line="360" w:lineRule="auto"/>
              <w:jc w:val="left"/>
              <w:rPr>
                <w:rFonts w:hint="eastAsia" w:ascii="宋体" w:hAnsi="宋体"/>
                <w:color w:val="auto"/>
                <w:szCs w:val="21"/>
                <w:highlight w:val="none"/>
              </w:rPr>
            </w:pPr>
          </w:p>
        </w:tc>
      </w:tr>
      <w:tr w14:paraId="6EA2C8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ED8FBE8">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63CF4AFF">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第15.1款</w:t>
            </w:r>
          </w:p>
        </w:tc>
        <w:tc>
          <w:tcPr>
            <w:tcW w:w="1742" w:type="dxa"/>
            <w:vAlign w:val="center"/>
          </w:tcPr>
          <w:p w14:paraId="20BFF6ED">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修理、重作、更换相关具体规定</w:t>
            </w:r>
          </w:p>
        </w:tc>
        <w:tc>
          <w:tcPr>
            <w:tcW w:w="5170" w:type="dxa"/>
            <w:vAlign w:val="center"/>
          </w:tcPr>
          <w:p w14:paraId="1D4A10B3">
            <w:pPr>
              <w:adjustRightInd w:val="0"/>
              <w:snapToGrid w:val="0"/>
              <w:spacing w:line="360" w:lineRule="auto"/>
              <w:jc w:val="left"/>
              <w:rPr>
                <w:rFonts w:hint="eastAsia" w:ascii="宋体" w:hAnsi="宋体"/>
                <w:color w:val="auto"/>
                <w:szCs w:val="21"/>
                <w:highlight w:val="none"/>
              </w:rPr>
            </w:pPr>
          </w:p>
        </w:tc>
      </w:tr>
      <w:tr w14:paraId="625A58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454E3F3">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607DF43A">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第15.2（2）项</w:t>
            </w:r>
          </w:p>
        </w:tc>
        <w:tc>
          <w:tcPr>
            <w:tcW w:w="1742" w:type="dxa"/>
            <w:vAlign w:val="center"/>
          </w:tcPr>
          <w:p w14:paraId="5897F29D">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迟延交货赔偿费</w:t>
            </w:r>
          </w:p>
        </w:tc>
        <w:tc>
          <w:tcPr>
            <w:tcW w:w="5170" w:type="dxa"/>
            <w:vAlign w:val="center"/>
          </w:tcPr>
          <w:p w14:paraId="337E7B76">
            <w:pPr>
              <w:adjustRightInd w:val="0"/>
              <w:snapToGrid w:val="0"/>
              <w:spacing w:line="360" w:lineRule="auto"/>
              <w:jc w:val="left"/>
              <w:rPr>
                <w:rFonts w:hint="eastAsia" w:ascii="宋体" w:hAnsi="宋体"/>
                <w:color w:val="auto"/>
                <w:szCs w:val="21"/>
                <w:highlight w:val="none"/>
                <w:u w:val="single"/>
              </w:rPr>
            </w:pPr>
          </w:p>
        </w:tc>
      </w:tr>
      <w:tr w14:paraId="0FAD8B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7032B3">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1138A616">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第15.3款</w:t>
            </w:r>
          </w:p>
        </w:tc>
        <w:tc>
          <w:tcPr>
            <w:tcW w:w="1742" w:type="dxa"/>
            <w:vAlign w:val="center"/>
          </w:tcPr>
          <w:p w14:paraId="4A92E1EE">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逾期付款利息</w:t>
            </w:r>
          </w:p>
        </w:tc>
        <w:tc>
          <w:tcPr>
            <w:tcW w:w="5170" w:type="dxa"/>
            <w:vAlign w:val="center"/>
          </w:tcPr>
          <w:p w14:paraId="296CC954">
            <w:pPr>
              <w:adjustRightInd w:val="0"/>
              <w:snapToGrid w:val="0"/>
              <w:spacing w:line="360" w:lineRule="auto"/>
              <w:jc w:val="left"/>
              <w:rPr>
                <w:rFonts w:hint="eastAsia" w:ascii="宋体" w:hAnsi="宋体"/>
                <w:color w:val="auto"/>
                <w:szCs w:val="21"/>
                <w:highlight w:val="none"/>
                <w:u w:val="single"/>
              </w:rPr>
            </w:pPr>
          </w:p>
        </w:tc>
      </w:tr>
      <w:tr w14:paraId="0E0E48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75D1BEE">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71E94BD3">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第15.4款</w:t>
            </w:r>
          </w:p>
        </w:tc>
        <w:tc>
          <w:tcPr>
            <w:tcW w:w="1742" w:type="dxa"/>
            <w:tcBorders>
              <w:left w:val="single" w:color="auto" w:sz="2" w:space="0"/>
              <w:bottom w:val="single" w:color="auto" w:sz="2" w:space="0"/>
              <w:right w:val="single" w:color="auto" w:sz="2" w:space="0"/>
            </w:tcBorders>
            <w:vAlign w:val="center"/>
          </w:tcPr>
          <w:p w14:paraId="458F9119">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其他违约责任</w:t>
            </w:r>
          </w:p>
        </w:tc>
        <w:tc>
          <w:tcPr>
            <w:tcW w:w="5170" w:type="dxa"/>
            <w:tcBorders>
              <w:left w:val="single" w:color="auto" w:sz="2" w:space="0"/>
              <w:bottom w:val="single" w:color="auto" w:sz="2" w:space="0"/>
            </w:tcBorders>
            <w:vAlign w:val="center"/>
          </w:tcPr>
          <w:p w14:paraId="6890CAAF">
            <w:pPr>
              <w:adjustRightInd w:val="0"/>
              <w:snapToGrid w:val="0"/>
              <w:spacing w:line="360" w:lineRule="auto"/>
              <w:jc w:val="left"/>
              <w:rPr>
                <w:rFonts w:hint="eastAsia" w:ascii="宋体" w:hAnsi="宋体"/>
                <w:color w:val="auto"/>
                <w:szCs w:val="21"/>
                <w:highlight w:val="none"/>
                <w:u w:val="single"/>
              </w:rPr>
            </w:pPr>
          </w:p>
        </w:tc>
      </w:tr>
      <w:tr w14:paraId="7402F7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7F030F9F">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0B9628BD">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第19.2款</w:t>
            </w:r>
          </w:p>
        </w:tc>
        <w:tc>
          <w:tcPr>
            <w:tcW w:w="1742" w:type="dxa"/>
            <w:tcBorders>
              <w:top w:val="single" w:color="auto" w:sz="2" w:space="0"/>
              <w:left w:val="single" w:color="auto" w:sz="2" w:space="0"/>
              <w:right w:val="single" w:color="auto" w:sz="2" w:space="0"/>
            </w:tcBorders>
            <w:vAlign w:val="center"/>
          </w:tcPr>
          <w:p w14:paraId="6B1B8E40">
            <w:pPr>
              <w:adjustRightInd w:val="0"/>
              <w:snapToGrid w:val="0"/>
              <w:spacing w:line="360" w:lineRule="auto"/>
              <w:jc w:val="left"/>
              <w:rPr>
                <w:rFonts w:hint="eastAsia" w:ascii="宋体" w:hAnsi="宋体"/>
                <w:color w:val="auto"/>
                <w:szCs w:val="21"/>
                <w:highlight w:val="none"/>
              </w:rPr>
            </w:pPr>
            <w:r>
              <w:rPr>
                <w:rFonts w:hint="eastAsia" w:ascii="宋体" w:hAnsi="宋体"/>
                <w:color w:val="auto"/>
                <w:szCs w:val="21"/>
                <w:highlight w:val="none"/>
              </w:rPr>
              <w:t>解决争议的方法</w:t>
            </w:r>
          </w:p>
        </w:tc>
        <w:tc>
          <w:tcPr>
            <w:tcW w:w="5170" w:type="dxa"/>
            <w:tcBorders>
              <w:top w:val="single" w:color="auto" w:sz="2" w:space="0"/>
              <w:left w:val="single" w:color="auto" w:sz="2" w:space="0"/>
            </w:tcBorders>
            <w:vAlign w:val="center"/>
          </w:tcPr>
          <w:p w14:paraId="66F007C0">
            <w:pPr>
              <w:autoSpaceDE w:val="0"/>
              <w:autoSpaceDN w:val="0"/>
              <w:adjustRightInd w:val="0"/>
              <w:snapToGrid w:val="0"/>
              <w:spacing w:line="360" w:lineRule="auto"/>
              <w:jc w:val="left"/>
              <w:rPr>
                <w:rFonts w:hint="eastAsia" w:ascii="宋体" w:hAnsi="宋体" w:cs="宋体"/>
                <w:iCs/>
                <w:color w:val="auto"/>
                <w:szCs w:val="21"/>
                <w:highlight w:val="none"/>
              </w:rPr>
            </w:pPr>
            <w:r>
              <w:rPr>
                <w:rFonts w:hint="eastAsia" w:ascii="宋体" w:hAnsi="宋体" w:cs="宋体"/>
                <w:iCs/>
                <w:color w:val="auto"/>
                <w:szCs w:val="21"/>
                <w:highlight w:val="none"/>
              </w:rPr>
              <w:t>因本合同及合同有关事项发生的争议，按下列第种方式解决：</w:t>
            </w:r>
          </w:p>
          <w:p w14:paraId="21213F2C">
            <w:pPr>
              <w:autoSpaceDE w:val="0"/>
              <w:autoSpaceDN w:val="0"/>
              <w:adjustRightInd w:val="0"/>
              <w:snapToGrid w:val="0"/>
              <w:spacing w:line="360" w:lineRule="auto"/>
              <w:jc w:val="left"/>
              <w:rPr>
                <w:rFonts w:hint="eastAsia" w:ascii="宋体" w:hAnsi="宋体" w:cs="宋体"/>
                <w:iCs/>
                <w:color w:val="auto"/>
                <w:szCs w:val="21"/>
                <w:highlight w:val="none"/>
              </w:rPr>
            </w:pPr>
            <w:r>
              <w:rPr>
                <w:rFonts w:hint="eastAsia" w:ascii="宋体" w:hAnsi="宋体" w:cs="宋体"/>
                <w:iCs/>
                <w:color w:val="auto"/>
                <w:szCs w:val="21"/>
                <w:highlight w:val="none"/>
              </w:rPr>
              <w:t>（1）向仲裁委员会申请仲裁，仲裁地点为；</w:t>
            </w:r>
          </w:p>
          <w:p w14:paraId="1A71E16F">
            <w:pPr>
              <w:adjustRightInd w:val="0"/>
              <w:snapToGrid w:val="0"/>
              <w:spacing w:line="360" w:lineRule="auto"/>
              <w:jc w:val="left"/>
              <w:rPr>
                <w:rFonts w:hint="eastAsia" w:ascii="宋体" w:hAnsi="宋体"/>
                <w:color w:val="auto"/>
                <w:szCs w:val="21"/>
                <w:highlight w:val="none"/>
                <w:u w:val="single"/>
              </w:rPr>
            </w:pPr>
            <w:r>
              <w:rPr>
                <w:rFonts w:hint="eastAsia" w:ascii="宋体" w:hAnsi="宋体" w:cs="宋体"/>
                <w:iCs/>
                <w:color w:val="auto"/>
                <w:szCs w:val="21"/>
                <w:highlight w:val="none"/>
              </w:rPr>
              <w:t>（2）向人民法院起诉。</w:t>
            </w:r>
          </w:p>
        </w:tc>
      </w:tr>
      <w:tr w14:paraId="71763F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3DF79E8E">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第二节</w:t>
            </w:r>
          </w:p>
          <w:p w14:paraId="543226F7">
            <w:pPr>
              <w:adjustRightInd w:val="0"/>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第23.1款</w:t>
            </w:r>
          </w:p>
        </w:tc>
        <w:tc>
          <w:tcPr>
            <w:tcW w:w="1742" w:type="dxa"/>
            <w:vAlign w:val="center"/>
          </w:tcPr>
          <w:p w14:paraId="788F7807">
            <w:pPr>
              <w:adjustRightInd w:val="0"/>
              <w:snapToGrid w:val="0"/>
              <w:spacing w:line="360" w:lineRule="auto"/>
              <w:jc w:val="left"/>
              <w:rPr>
                <w:rFonts w:hint="eastAsia" w:ascii="宋体" w:hAnsi="宋体"/>
                <w:color w:val="auto"/>
                <w:szCs w:val="21"/>
                <w:highlight w:val="none"/>
              </w:rPr>
            </w:pPr>
            <w:r>
              <w:rPr>
                <w:rFonts w:hint="eastAsia" w:ascii="宋体" w:hAnsi="宋体"/>
                <w:bCs/>
                <w:color w:val="auto"/>
                <w:szCs w:val="21"/>
                <w:highlight w:val="none"/>
              </w:rPr>
              <w:t>其他专用条款</w:t>
            </w:r>
          </w:p>
        </w:tc>
        <w:tc>
          <w:tcPr>
            <w:tcW w:w="5170" w:type="dxa"/>
            <w:vAlign w:val="center"/>
          </w:tcPr>
          <w:p w14:paraId="48021E9E">
            <w:pPr>
              <w:adjustRightInd w:val="0"/>
              <w:snapToGrid w:val="0"/>
              <w:spacing w:line="360" w:lineRule="auto"/>
              <w:jc w:val="left"/>
              <w:rPr>
                <w:rFonts w:hint="eastAsia" w:ascii="宋体" w:hAnsi="宋体"/>
                <w:color w:val="auto"/>
                <w:szCs w:val="21"/>
                <w:highlight w:val="none"/>
              </w:rPr>
            </w:pPr>
          </w:p>
        </w:tc>
      </w:tr>
    </w:tbl>
    <w:p w14:paraId="20171783">
      <w:pPr>
        <w:numPr>
          <w:ilvl w:val="255"/>
          <w:numId w:val="0"/>
        </w:numPr>
        <w:spacing w:line="360" w:lineRule="auto"/>
        <w:rPr>
          <w:rFonts w:hint="eastAsia" w:ascii="宋体" w:hAnsi="宋体" w:cs="宋体"/>
          <w:b/>
          <w:color w:val="auto"/>
          <w:sz w:val="32"/>
          <w:szCs w:val="32"/>
          <w:highlight w:val="none"/>
        </w:rPr>
      </w:pPr>
    </w:p>
    <w:p w14:paraId="47058A69">
      <w:pPr>
        <w:numPr>
          <w:ilvl w:val="255"/>
          <w:numId w:val="0"/>
        </w:numPr>
        <w:spacing w:line="360" w:lineRule="auto"/>
        <w:rPr>
          <w:rFonts w:hint="eastAsia" w:ascii="宋体" w:hAnsi="宋体" w:cs="宋体"/>
          <w:b/>
          <w:color w:val="auto"/>
          <w:sz w:val="24"/>
          <w:szCs w:val="24"/>
          <w:highlight w:val="none"/>
        </w:rPr>
      </w:pPr>
    </w:p>
    <w:p w14:paraId="3A648DCD">
      <w:pPr>
        <w:adjustRightInd w:val="0"/>
        <w:snapToGrid w:val="0"/>
        <w:rPr>
          <w:rFonts w:hint="eastAsia" w:ascii="宋体" w:hAnsi="宋体"/>
          <w:b/>
          <w:bCs/>
          <w:color w:val="auto"/>
          <w:sz w:val="24"/>
          <w:szCs w:val="24"/>
          <w:highlight w:val="none"/>
        </w:rPr>
      </w:pPr>
      <w:r>
        <w:rPr>
          <w:rFonts w:hint="eastAsia" w:ascii="宋体" w:hAnsi="宋体"/>
          <w:b/>
          <w:bCs/>
          <w:color w:val="auto"/>
          <w:sz w:val="24"/>
          <w:szCs w:val="24"/>
          <w:highlight w:val="none"/>
        </w:rPr>
        <w:t>附件：服务考核细则</w:t>
      </w:r>
    </w:p>
    <w:p w14:paraId="5AD83536">
      <w:pPr>
        <w:adjustRightInd w:val="0"/>
        <w:snapToGrid w:val="0"/>
        <w:rPr>
          <w:rFonts w:hint="eastAsia" w:ascii="宋体" w:hAnsi="宋体"/>
          <w:color w:val="auto"/>
          <w:sz w:val="24"/>
          <w:szCs w:val="24"/>
          <w:highlight w:val="none"/>
        </w:rPr>
      </w:pPr>
    </w:p>
    <w:p w14:paraId="42A061B2">
      <w:pPr>
        <w:adjustRightInd w:val="0"/>
        <w:snapToGrid w:val="0"/>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买方将定期对最终用户进行回访，跟踪了解产品的使用情况及卖方的售后服务质量，依照以上的服务承诺，制定以下考核细则。</w:t>
      </w:r>
      <w:r>
        <w:rPr>
          <w:rFonts w:hint="eastAsia" w:ascii="宋体" w:hAnsi="宋体"/>
          <w:color w:val="auto"/>
          <w:sz w:val="24"/>
          <w:szCs w:val="24"/>
          <w:highlight w:val="none"/>
        </w:rPr>
        <w:br w:type="textWrapping"/>
      </w:r>
      <w:r>
        <w:rPr>
          <w:rFonts w:hint="eastAsia" w:ascii="宋体" w:hAnsi="宋体"/>
          <w:color w:val="auto"/>
          <w:sz w:val="24"/>
          <w:szCs w:val="24"/>
          <w:highlight w:val="none"/>
        </w:rPr>
        <w:t>1、合同期内每月考核一次；</w:t>
      </w:r>
      <w:r>
        <w:rPr>
          <w:rFonts w:hint="eastAsia" w:ascii="宋体" w:hAnsi="宋体"/>
          <w:color w:val="auto"/>
          <w:sz w:val="24"/>
          <w:szCs w:val="24"/>
          <w:highlight w:val="none"/>
        </w:rPr>
        <w:br w:type="textWrapping"/>
      </w:r>
      <w:r>
        <w:rPr>
          <w:rFonts w:hint="eastAsia" w:ascii="宋体" w:hAnsi="宋体"/>
          <w:color w:val="auto"/>
          <w:sz w:val="24"/>
          <w:szCs w:val="24"/>
          <w:highlight w:val="none"/>
        </w:rPr>
        <w:t>2、每月10日前，买方将上月考核结果及涉及扣费的数据发给卖方核对，卖方在不影响到客户体验的情况下可以对考核结果提出异议，并要求在每月15日前书面反馈，逾期视为对买方的考核结果无异议。</w:t>
      </w:r>
      <w:r>
        <w:rPr>
          <w:rFonts w:hint="eastAsia" w:ascii="宋体" w:hAnsi="宋体"/>
          <w:color w:val="auto"/>
          <w:sz w:val="24"/>
          <w:szCs w:val="24"/>
          <w:highlight w:val="none"/>
        </w:rPr>
        <w:br w:type="textWrapping"/>
      </w:r>
      <w:r>
        <w:rPr>
          <w:rFonts w:hint="eastAsia" w:ascii="宋体" w:hAnsi="宋体"/>
          <w:color w:val="auto"/>
          <w:sz w:val="24"/>
          <w:szCs w:val="24"/>
          <w:highlight w:val="none"/>
        </w:rPr>
        <w:t>3、买方有权从应付但未付给卖方的任一笔款项中，扣除考核结果中列明的违约金。</w:t>
      </w:r>
      <w:r>
        <w:rPr>
          <w:rFonts w:hint="eastAsia" w:ascii="宋体" w:hAnsi="宋体"/>
          <w:color w:val="auto"/>
          <w:sz w:val="24"/>
          <w:szCs w:val="24"/>
          <w:highlight w:val="none"/>
        </w:rPr>
        <w:br w:type="textWrapping"/>
      </w:r>
      <w:r>
        <w:rPr>
          <w:rFonts w:hint="eastAsia" w:ascii="宋体" w:hAnsi="宋体"/>
          <w:color w:val="auto"/>
          <w:sz w:val="24"/>
          <w:szCs w:val="24"/>
          <w:highlight w:val="none"/>
        </w:rPr>
        <w:t>4、具体违约金标准如下：</w:t>
      </w:r>
    </w:p>
    <w:p w14:paraId="43D086B2">
      <w:pPr>
        <w:adjustRightInd w:val="0"/>
        <w:snapToGrid w:val="0"/>
        <w:rPr>
          <w:rFonts w:hint="eastAsia" w:ascii="宋体" w:hAnsi="宋体"/>
          <w:color w:val="auto"/>
          <w:sz w:val="24"/>
          <w:szCs w:val="24"/>
          <w:highlight w:val="none"/>
        </w:rPr>
      </w:pPr>
    </w:p>
    <w:tbl>
      <w:tblPr>
        <w:tblStyle w:val="13"/>
        <w:tblW w:w="10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719"/>
        <w:gridCol w:w="1314"/>
        <w:gridCol w:w="1038"/>
        <w:gridCol w:w="3257"/>
        <w:gridCol w:w="1787"/>
        <w:gridCol w:w="2139"/>
      </w:tblGrid>
      <w:tr w14:paraId="4BCF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5" w:type="dxa"/>
            <w:noWrap/>
          </w:tcPr>
          <w:p w14:paraId="2EDE17E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序号</w:t>
            </w:r>
          </w:p>
        </w:tc>
        <w:tc>
          <w:tcPr>
            <w:tcW w:w="719" w:type="dxa"/>
          </w:tcPr>
          <w:p w14:paraId="40610E0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考核项目</w:t>
            </w:r>
          </w:p>
        </w:tc>
        <w:tc>
          <w:tcPr>
            <w:tcW w:w="1314" w:type="dxa"/>
          </w:tcPr>
          <w:p w14:paraId="197BACC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考核说明</w:t>
            </w:r>
          </w:p>
        </w:tc>
        <w:tc>
          <w:tcPr>
            <w:tcW w:w="1038" w:type="dxa"/>
          </w:tcPr>
          <w:p w14:paraId="4F20BD7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涉及服务环节</w:t>
            </w:r>
          </w:p>
        </w:tc>
        <w:tc>
          <w:tcPr>
            <w:tcW w:w="3257" w:type="dxa"/>
          </w:tcPr>
          <w:p w14:paraId="6DE3A17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供应商服务要求</w:t>
            </w:r>
          </w:p>
        </w:tc>
        <w:tc>
          <w:tcPr>
            <w:tcW w:w="1787" w:type="dxa"/>
            <w:noWrap/>
          </w:tcPr>
          <w:p w14:paraId="6466757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考核标准</w:t>
            </w:r>
          </w:p>
        </w:tc>
        <w:tc>
          <w:tcPr>
            <w:tcW w:w="2139" w:type="dxa"/>
            <w:noWrap/>
          </w:tcPr>
          <w:p w14:paraId="1B59856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考核金额</w:t>
            </w:r>
          </w:p>
        </w:tc>
      </w:tr>
      <w:tr w14:paraId="3C03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485" w:type="dxa"/>
            <w:noWrap/>
          </w:tcPr>
          <w:p w14:paraId="65F69D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w:t>
            </w:r>
          </w:p>
        </w:tc>
        <w:tc>
          <w:tcPr>
            <w:tcW w:w="719" w:type="dxa"/>
            <w:vMerge w:val="restart"/>
          </w:tcPr>
          <w:p w14:paraId="7458C65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服务效率</w:t>
            </w:r>
          </w:p>
        </w:tc>
        <w:tc>
          <w:tcPr>
            <w:tcW w:w="1314" w:type="dxa"/>
            <w:vMerge w:val="restart"/>
          </w:tcPr>
          <w:p w14:paraId="5FFBA05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1、服务响应不及时或服务时间超出约定时间，且未提前与最终用户做好沟通，或未经最终用户同意。</w:t>
            </w:r>
          </w:p>
          <w:p w14:paraId="7FDF39F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2、未在规定时间内解决最终用户的正当需求，最终用户要求但未提供备用机；</w:t>
            </w:r>
          </w:p>
          <w:p w14:paraId="4AC28AF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3、设备维修时超出约定时间仍未修复的；</w:t>
            </w:r>
          </w:p>
          <w:p w14:paraId="278EBEF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4、需要提供服务的设备超出一台且满足上述任一条件的，按200元/台/次考核</w:t>
            </w:r>
          </w:p>
        </w:tc>
        <w:tc>
          <w:tcPr>
            <w:tcW w:w="1038" w:type="dxa"/>
          </w:tcPr>
          <w:p w14:paraId="1545D4E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电话响应时效</w:t>
            </w:r>
          </w:p>
        </w:tc>
        <w:tc>
          <w:tcPr>
            <w:tcW w:w="3257" w:type="dxa"/>
          </w:tcPr>
          <w:p w14:paraId="46BCA5C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收到万翔客服专员通知后，在1个工作小时内联系客户约定上门时间；并及时将约定时间反馈给万翔客服专员。</w:t>
            </w:r>
          </w:p>
        </w:tc>
        <w:tc>
          <w:tcPr>
            <w:tcW w:w="1787" w:type="dxa"/>
          </w:tcPr>
          <w:p w14:paraId="2FF615F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万翔客服专员报单后1个工作小时内</w:t>
            </w:r>
          </w:p>
        </w:tc>
        <w:tc>
          <w:tcPr>
            <w:tcW w:w="2139" w:type="dxa"/>
          </w:tcPr>
          <w:p w14:paraId="2D3EBC7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02EC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5" w:type="dxa"/>
            <w:noWrap/>
          </w:tcPr>
          <w:p w14:paraId="729CE5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719" w:type="dxa"/>
            <w:vMerge w:val="continue"/>
          </w:tcPr>
          <w:p w14:paraId="01BE1170">
            <w:pPr>
              <w:widowControl/>
              <w:jc w:val="left"/>
              <w:rPr>
                <w:rFonts w:hint="eastAsia" w:ascii="宋体" w:hAnsi="宋体" w:cs="宋体"/>
                <w:color w:val="auto"/>
                <w:kern w:val="0"/>
                <w:sz w:val="18"/>
                <w:szCs w:val="18"/>
                <w:highlight w:val="none"/>
              </w:rPr>
            </w:pPr>
          </w:p>
        </w:tc>
        <w:tc>
          <w:tcPr>
            <w:tcW w:w="1314" w:type="dxa"/>
            <w:vMerge w:val="continue"/>
          </w:tcPr>
          <w:p w14:paraId="710325B5">
            <w:pPr>
              <w:widowControl/>
              <w:jc w:val="left"/>
              <w:rPr>
                <w:rFonts w:hint="eastAsia" w:ascii="宋体" w:hAnsi="宋体" w:cs="宋体"/>
                <w:color w:val="auto"/>
                <w:kern w:val="0"/>
                <w:sz w:val="18"/>
                <w:szCs w:val="18"/>
                <w:highlight w:val="none"/>
              </w:rPr>
            </w:pPr>
          </w:p>
        </w:tc>
        <w:tc>
          <w:tcPr>
            <w:tcW w:w="1038" w:type="dxa"/>
            <w:vMerge w:val="restart"/>
          </w:tcPr>
          <w:p w14:paraId="095AAD8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上门服务时效</w:t>
            </w:r>
          </w:p>
        </w:tc>
        <w:tc>
          <w:tcPr>
            <w:tcW w:w="3257" w:type="dxa"/>
            <w:vMerge w:val="restart"/>
          </w:tcPr>
          <w:p w14:paraId="56DE27D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按与客户约定时间上门服务；</w:t>
            </w:r>
          </w:p>
          <w:p w14:paraId="0F6AC86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如特殊情况不能按约定时间上门，必须提前联系最终用户且征得最终用户的同意，同时重新预约上门服务时间，并务必保证按此约定时间上门。</w:t>
            </w:r>
          </w:p>
        </w:tc>
        <w:tc>
          <w:tcPr>
            <w:tcW w:w="1787" w:type="dxa"/>
          </w:tcPr>
          <w:p w14:paraId="4622FF1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万翔客服专员报单后4个工作小时内</w:t>
            </w:r>
          </w:p>
        </w:tc>
        <w:tc>
          <w:tcPr>
            <w:tcW w:w="2139" w:type="dxa"/>
          </w:tcPr>
          <w:p w14:paraId="3352BE7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2D0A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485" w:type="dxa"/>
            <w:noWrap/>
          </w:tcPr>
          <w:p w14:paraId="6832FE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719" w:type="dxa"/>
            <w:vMerge w:val="continue"/>
          </w:tcPr>
          <w:p w14:paraId="630AA004">
            <w:pPr>
              <w:widowControl/>
              <w:jc w:val="left"/>
              <w:rPr>
                <w:rFonts w:hint="eastAsia" w:ascii="宋体" w:hAnsi="宋体" w:cs="宋体"/>
                <w:color w:val="auto"/>
                <w:kern w:val="0"/>
                <w:sz w:val="18"/>
                <w:szCs w:val="18"/>
                <w:highlight w:val="none"/>
              </w:rPr>
            </w:pPr>
          </w:p>
        </w:tc>
        <w:tc>
          <w:tcPr>
            <w:tcW w:w="1314" w:type="dxa"/>
            <w:vMerge w:val="continue"/>
          </w:tcPr>
          <w:p w14:paraId="570DA5B0">
            <w:pPr>
              <w:widowControl/>
              <w:jc w:val="left"/>
              <w:rPr>
                <w:rFonts w:hint="eastAsia" w:ascii="宋体" w:hAnsi="宋体" w:cs="宋体"/>
                <w:color w:val="auto"/>
                <w:kern w:val="0"/>
                <w:sz w:val="18"/>
                <w:szCs w:val="18"/>
                <w:highlight w:val="none"/>
              </w:rPr>
            </w:pPr>
          </w:p>
        </w:tc>
        <w:tc>
          <w:tcPr>
            <w:tcW w:w="1038" w:type="dxa"/>
            <w:vMerge w:val="continue"/>
          </w:tcPr>
          <w:p w14:paraId="276DC4A4">
            <w:pPr>
              <w:widowControl/>
              <w:jc w:val="left"/>
              <w:rPr>
                <w:rFonts w:hint="eastAsia" w:ascii="宋体" w:hAnsi="宋体" w:cs="宋体"/>
                <w:color w:val="auto"/>
                <w:kern w:val="0"/>
                <w:sz w:val="18"/>
                <w:szCs w:val="18"/>
                <w:highlight w:val="none"/>
              </w:rPr>
            </w:pPr>
          </w:p>
        </w:tc>
        <w:tc>
          <w:tcPr>
            <w:tcW w:w="3257" w:type="dxa"/>
            <w:vMerge w:val="continue"/>
          </w:tcPr>
          <w:p w14:paraId="51E036EA">
            <w:pPr>
              <w:widowControl/>
              <w:jc w:val="left"/>
              <w:rPr>
                <w:rFonts w:hint="eastAsia" w:ascii="宋体" w:hAnsi="宋体" w:cs="宋体"/>
                <w:color w:val="auto"/>
                <w:kern w:val="0"/>
                <w:sz w:val="18"/>
                <w:szCs w:val="18"/>
                <w:highlight w:val="none"/>
              </w:rPr>
            </w:pPr>
          </w:p>
        </w:tc>
        <w:tc>
          <w:tcPr>
            <w:tcW w:w="1787" w:type="dxa"/>
          </w:tcPr>
          <w:p w14:paraId="2BFFFC0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因</w:t>
            </w:r>
            <w:r>
              <w:rPr>
                <w:rFonts w:hint="eastAsia" w:ascii="宋体" w:hAnsi="宋体" w:cs="宋体"/>
                <w:b/>
                <w:bCs/>
                <w:color w:val="auto"/>
                <w:kern w:val="0"/>
                <w:sz w:val="18"/>
                <w:szCs w:val="18"/>
                <w:highlight w:val="none"/>
              </w:rPr>
              <w:t>客户原因</w:t>
            </w:r>
            <w:r>
              <w:rPr>
                <w:rFonts w:hint="eastAsia" w:ascii="宋体" w:hAnsi="宋体" w:cs="宋体"/>
                <w:color w:val="auto"/>
                <w:kern w:val="0"/>
                <w:sz w:val="18"/>
                <w:szCs w:val="18"/>
                <w:highlight w:val="none"/>
              </w:rPr>
              <w:t>需延后上门时间并另外约定上门时间，需在承诺的时间内达到</w:t>
            </w:r>
          </w:p>
        </w:tc>
        <w:tc>
          <w:tcPr>
            <w:tcW w:w="2139" w:type="dxa"/>
          </w:tcPr>
          <w:p w14:paraId="1D7F98F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6D5D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85" w:type="dxa"/>
            <w:noWrap/>
          </w:tcPr>
          <w:p w14:paraId="35A2651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719" w:type="dxa"/>
            <w:vMerge w:val="continue"/>
          </w:tcPr>
          <w:p w14:paraId="573F6E3F">
            <w:pPr>
              <w:widowControl/>
              <w:jc w:val="left"/>
              <w:rPr>
                <w:rFonts w:hint="eastAsia" w:ascii="宋体" w:hAnsi="宋体" w:cs="宋体"/>
                <w:color w:val="auto"/>
                <w:kern w:val="0"/>
                <w:sz w:val="18"/>
                <w:szCs w:val="18"/>
                <w:highlight w:val="none"/>
              </w:rPr>
            </w:pPr>
          </w:p>
        </w:tc>
        <w:tc>
          <w:tcPr>
            <w:tcW w:w="1314" w:type="dxa"/>
            <w:vMerge w:val="continue"/>
          </w:tcPr>
          <w:p w14:paraId="3E7DA870">
            <w:pPr>
              <w:widowControl/>
              <w:jc w:val="left"/>
              <w:rPr>
                <w:rFonts w:hint="eastAsia" w:ascii="宋体" w:hAnsi="宋体" w:cs="宋体"/>
                <w:color w:val="auto"/>
                <w:kern w:val="0"/>
                <w:sz w:val="18"/>
                <w:szCs w:val="18"/>
                <w:highlight w:val="none"/>
              </w:rPr>
            </w:pPr>
          </w:p>
        </w:tc>
        <w:tc>
          <w:tcPr>
            <w:tcW w:w="1038" w:type="dxa"/>
            <w:vMerge w:val="restart"/>
          </w:tcPr>
          <w:p w14:paraId="322FFA4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维修时效</w:t>
            </w:r>
          </w:p>
        </w:tc>
        <w:tc>
          <w:tcPr>
            <w:tcW w:w="3257" w:type="dxa"/>
          </w:tcPr>
          <w:p w14:paraId="6AD79B5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上门检测后需现场向最终用户说明故障情况并告知解决方案、如需调拨维修配件，需要告知最终用户配件更换时效并征得客户同意</w:t>
            </w:r>
          </w:p>
        </w:tc>
        <w:tc>
          <w:tcPr>
            <w:tcW w:w="1787" w:type="dxa"/>
          </w:tcPr>
          <w:p w14:paraId="6710221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在承诺的时间内完成服务</w:t>
            </w:r>
          </w:p>
        </w:tc>
        <w:tc>
          <w:tcPr>
            <w:tcW w:w="2139" w:type="dxa"/>
          </w:tcPr>
          <w:p w14:paraId="5065012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76D9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485" w:type="dxa"/>
            <w:noWrap/>
          </w:tcPr>
          <w:p w14:paraId="556264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719" w:type="dxa"/>
            <w:vMerge w:val="continue"/>
          </w:tcPr>
          <w:p w14:paraId="29D79056">
            <w:pPr>
              <w:widowControl/>
              <w:jc w:val="left"/>
              <w:rPr>
                <w:rFonts w:hint="eastAsia" w:ascii="宋体" w:hAnsi="宋体" w:cs="宋体"/>
                <w:color w:val="auto"/>
                <w:kern w:val="0"/>
                <w:sz w:val="18"/>
                <w:szCs w:val="18"/>
                <w:highlight w:val="none"/>
              </w:rPr>
            </w:pPr>
          </w:p>
        </w:tc>
        <w:tc>
          <w:tcPr>
            <w:tcW w:w="1314" w:type="dxa"/>
            <w:vMerge w:val="continue"/>
          </w:tcPr>
          <w:p w14:paraId="1524F2E3">
            <w:pPr>
              <w:widowControl/>
              <w:jc w:val="left"/>
              <w:rPr>
                <w:rFonts w:hint="eastAsia" w:ascii="宋体" w:hAnsi="宋体" w:cs="宋体"/>
                <w:color w:val="auto"/>
                <w:kern w:val="0"/>
                <w:sz w:val="18"/>
                <w:szCs w:val="18"/>
                <w:highlight w:val="none"/>
              </w:rPr>
            </w:pPr>
          </w:p>
        </w:tc>
        <w:tc>
          <w:tcPr>
            <w:tcW w:w="1038" w:type="dxa"/>
            <w:vMerge w:val="continue"/>
          </w:tcPr>
          <w:p w14:paraId="3A8B517E">
            <w:pPr>
              <w:widowControl/>
              <w:jc w:val="left"/>
              <w:rPr>
                <w:rFonts w:hint="eastAsia" w:ascii="宋体" w:hAnsi="宋体" w:cs="宋体"/>
                <w:color w:val="auto"/>
                <w:kern w:val="0"/>
                <w:sz w:val="18"/>
                <w:szCs w:val="18"/>
                <w:highlight w:val="none"/>
              </w:rPr>
            </w:pPr>
          </w:p>
        </w:tc>
        <w:tc>
          <w:tcPr>
            <w:tcW w:w="3257" w:type="dxa"/>
          </w:tcPr>
          <w:p w14:paraId="2ECE988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如调拨配件时间长（超过2个工作日）、更换完配件仍无法使用、需要整机取走维修等问题导致客户无法使用，必须直接向客户说明情况并询问是否需要备用机，告知客户服务时效并在承诺的时间内完成相应的服务内容；服务商必须根据要求直接确定是否进入提供备用机或者退换机服务流程</w:t>
            </w:r>
          </w:p>
        </w:tc>
        <w:tc>
          <w:tcPr>
            <w:tcW w:w="1787" w:type="dxa"/>
          </w:tcPr>
          <w:p w14:paraId="34B117F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向客户说明情况，告知客户提供备用机和退换机的解决方案，同时告知客户服务时效，并在承诺的时间内完成相应的服务内容。</w:t>
            </w:r>
          </w:p>
        </w:tc>
        <w:tc>
          <w:tcPr>
            <w:tcW w:w="2139" w:type="dxa"/>
          </w:tcPr>
          <w:p w14:paraId="482E01B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635F5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85" w:type="dxa"/>
            <w:noWrap/>
          </w:tcPr>
          <w:p w14:paraId="28D804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719" w:type="dxa"/>
            <w:vMerge w:val="continue"/>
          </w:tcPr>
          <w:p w14:paraId="35B9FEE4">
            <w:pPr>
              <w:widowControl/>
              <w:jc w:val="left"/>
              <w:rPr>
                <w:rFonts w:hint="eastAsia" w:ascii="宋体" w:hAnsi="宋体" w:cs="宋体"/>
                <w:color w:val="auto"/>
                <w:kern w:val="0"/>
                <w:sz w:val="18"/>
                <w:szCs w:val="18"/>
                <w:highlight w:val="none"/>
              </w:rPr>
            </w:pPr>
          </w:p>
        </w:tc>
        <w:tc>
          <w:tcPr>
            <w:tcW w:w="1314" w:type="dxa"/>
            <w:vMerge w:val="continue"/>
          </w:tcPr>
          <w:p w14:paraId="04FB16D4">
            <w:pPr>
              <w:widowControl/>
              <w:jc w:val="left"/>
              <w:rPr>
                <w:rFonts w:hint="eastAsia" w:ascii="宋体" w:hAnsi="宋体" w:cs="宋体"/>
                <w:color w:val="auto"/>
                <w:kern w:val="0"/>
                <w:sz w:val="18"/>
                <w:szCs w:val="18"/>
                <w:highlight w:val="none"/>
              </w:rPr>
            </w:pPr>
          </w:p>
        </w:tc>
        <w:tc>
          <w:tcPr>
            <w:tcW w:w="1038" w:type="dxa"/>
          </w:tcPr>
          <w:p w14:paraId="35A3CA4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备用机提供时效</w:t>
            </w:r>
          </w:p>
        </w:tc>
        <w:tc>
          <w:tcPr>
            <w:tcW w:w="3257" w:type="dxa"/>
          </w:tcPr>
          <w:p w14:paraId="527DF28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服务商自行提供备用机，按与客户约定时间完成服务</w:t>
            </w:r>
          </w:p>
        </w:tc>
        <w:tc>
          <w:tcPr>
            <w:tcW w:w="1787" w:type="dxa"/>
          </w:tcPr>
          <w:p w14:paraId="330A1EE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客户确认使用备用机后在1个工作日内提供备机</w:t>
            </w:r>
          </w:p>
        </w:tc>
        <w:tc>
          <w:tcPr>
            <w:tcW w:w="2139" w:type="dxa"/>
          </w:tcPr>
          <w:p w14:paraId="7F2B9F4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6C1C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85" w:type="dxa"/>
            <w:noWrap/>
          </w:tcPr>
          <w:p w14:paraId="71E0AD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719" w:type="dxa"/>
            <w:vMerge w:val="continue"/>
          </w:tcPr>
          <w:p w14:paraId="4C7B2FDD">
            <w:pPr>
              <w:widowControl/>
              <w:jc w:val="left"/>
              <w:rPr>
                <w:rFonts w:hint="eastAsia" w:ascii="宋体" w:hAnsi="宋体" w:cs="宋体"/>
                <w:color w:val="auto"/>
                <w:kern w:val="0"/>
                <w:sz w:val="18"/>
                <w:szCs w:val="18"/>
                <w:highlight w:val="none"/>
              </w:rPr>
            </w:pPr>
          </w:p>
        </w:tc>
        <w:tc>
          <w:tcPr>
            <w:tcW w:w="1314" w:type="dxa"/>
            <w:vMerge w:val="continue"/>
          </w:tcPr>
          <w:p w14:paraId="6635FAC3">
            <w:pPr>
              <w:widowControl/>
              <w:jc w:val="left"/>
              <w:rPr>
                <w:rFonts w:hint="eastAsia" w:ascii="宋体" w:hAnsi="宋体" w:cs="宋体"/>
                <w:color w:val="auto"/>
                <w:kern w:val="0"/>
                <w:sz w:val="18"/>
                <w:szCs w:val="18"/>
                <w:highlight w:val="none"/>
              </w:rPr>
            </w:pPr>
          </w:p>
        </w:tc>
        <w:tc>
          <w:tcPr>
            <w:tcW w:w="1038" w:type="dxa"/>
            <w:vMerge w:val="restart"/>
          </w:tcPr>
          <w:p w14:paraId="1AA34D2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换机服务时效</w:t>
            </w:r>
          </w:p>
        </w:tc>
        <w:tc>
          <w:tcPr>
            <w:tcW w:w="3257" w:type="dxa"/>
          </w:tcPr>
          <w:p w14:paraId="13B07E3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确认换机后，在5个工作日内完成换机，如果超出5个工作日必须征得最终用户的同意，并在承诺的时间内完成服务</w:t>
            </w:r>
          </w:p>
        </w:tc>
        <w:tc>
          <w:tcPr>
            <w:tcW w:w="1787" w:type="dxa"/>
          </w:tcPr>
          <w:p w14:paraId="2360B90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在承诺的时间内完成换机。</w:t>
            </w:r>
          </w:p>
        </w:tc>
        <w:tc>
          <w:tcPr>
            <w:tcW w:w="2139" w:type="dxa"/>
          </w:tcPr>
          <w:p w14:paraId="1E32039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400元/次+（N-1）*200元/台/次</w:t>
            </w:r>
          </w:p>
        </w:tc>
      </w:tr>
      <w:tr w14:paraId="2D7F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485" w:type="dxa"/>
            <w:noWrap/>
          </w:tcPr>
          <w:p w14:paraId="637539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719" w:type="dxa"/>
            <w:vMerge w:val="continue"/>
          </w:tcPr>
          <w:p w14:paraId="4E9AA4B6">
            <w:pPr>
              <w:widowControl/>
              <w:jc w:val="left"/>
              <w:rPr>
                <w:rFonts w:hint="eastAsia" w:ascii="宋体" w:hAnsi="宋体" w:cs="宋体"/>
                <w:color w:val="auto"/>
                <w:kern w:val="0"/>
                <w:sz w:val="18"/>
                <w:szCs w:val="18"/>
                <w:highlight w:val="none"/>
              </w:rPr>
            </w:pPr>
          </w:p>
        </w:tc>
        <w:tc>
          <w:tcPr>
            <w:tcW w:w="1314" w:type="dxa"/>
            <w:vMerge w:val="continue"/>
          </w:tcPr>
          <w:p w14:paraId="0CEB5036">
            <w:pPr>
              <w:widowControl/>
              <w:jc w:val="left"/>
              <w:rPr>
                <w:rFonts w:hint="eastAsia" w:ascii="宋体" w:hAnsi="宋体" w:cs="宋体"/>
                <w:color w:val="auto"/>
                <w:kern w:val="0"/>
                <w:sz w:val="18"/>
                <w:szCs w:val="18"/>
                <w:highlight w:val="none"/>
              </w:rPr>
            </w:pPr>
          </w:p>
        </w:tc>
        <w:tc>
          <w:tcPr>
            <w:tcW w:w="1038" w:type="dxa"/>
            <w:vMerge w:val="continue"/>
          </w:tcPr>
          <w:p w14:paraId="67F1322C">
            <w:pPr>
              <w:widowControl/>
              <w:jc w:val="left"/>
              <w:rPr>
                <w:rFonts w:hint="eastAsia" w:ascii="宋体" w:hAnsi="宋体" w:cs="宋体"/>
                <w:color w:val="auto"/>
                <w:kern w:val="0"/>
                <w:sz w:val="18"/>
                <w:szCs w:val="18"/>
                <w:highlight w:val="none"/>
              </w:rPr>
            </w:pPr>
          </w:p>
        </w:tc>
        <w:tc>
          <w:tcPr>
            <w:tcW w:w="3257" w:type="dxa"/>
          </w:tcPr>
          <w:p w14:paraId="70CC81E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核实产品主要部件在1年内同样故障报修工单达到三次或三次以上的供应商必须按照客户需求给予更换新机，配置参数需大于等于原机型，换机流程不再经过万翔，换机流程中须提供备用机（备用机服务标准同上）</w:t>
            </w:r>
          </w:p>
        </w:tc>
        <w:tc>
          <w:tcPr>
            <w:tcW w:w="1787" w:type="dxa"/>
          </w:tcPr>
          <w:p w14:paraId="2C8356C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同意并给予客户换机。</w:t>
            </w:r>
          </w:p>
        </w:tc>
        <w:tc>
          <w:tcPr>
            <w:tcW w:w="2139" w:type="dxa"/>
          </w:tcPr>
          <w:p w14:paraId="3FD8762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500元/台/次；同时在质保金中扣除换新机所需货款，由万翔直接给客户换机</w:t>
            </w:r>
          </w:p>
        </w:tc>
      </w:tr>
      <w:tr w14:paraId="786F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485" w:type="dxa"/>
            <w:noWrap/>
          </w:tcPr>
          <w:p w14:paraId="579C98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w:t>
            </w:r>
          </w:p>
        </w:tc>
        <w:tc>
          <w:tcPr>
            <w:tcW w:w="719" w:type="dxa"/>
            <w:vMerge w:val="continue"/>
          </w:tcPr>
          <w:p w14:paraId="1D9642CF">
            <w:pPr>
              <w:widowControl/>
              <w:jc w:val="left"/>
              <w:rPr>
                <w:rFonts w:hint="eastAsia" w:ascii="宋体" w:hAnsi="宋体" w:cs="宋体"/>
                <w:color w:val="auto"/>
                <w:kern w:val="0"/>
                <w:sz w:val="18"/>
                <w:szCs w:val="18"/>
                <w:highlight w:val="none"/>
              </w:rPr>
            </w:pPr>
          </w:p>
        </w:tc>
        <w:tc>
          <w:tcPr>
            <w:tcW w:w="1314" w:type="dxa"/>
            <w:vMerge w:val="continue"/>
          </w:tcPr>
          <w:p w14:paraId="0684E889">
            <w:pPr>
              <w:widowControl/>
              <w:jc w:val="left"/>
              <w:rPr>
                <w:rFonts w:hint="eastAsia" w:ascii="宋体" w:hAnsi="宋体" w:cs="宋体"/>
                <w:color w:val="auto"/>
                <w:kern w:val="0"/>
                <w:sz w:val="18"/>
                <w:szCs w:val="18"/>
                <w:highlight w:val="none"/>
              </w:rPr>
            </w:pPr>
          </w:p>
        </w:tc>
        <w:tc>
          <w:tcPr>
            <w:tcW w:w="1038" w:type="dxa"/>
          </w:tcPr>
          <w:p w14:paraId="3BDF23C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验收报告/辅材发票提供时效</w:t>
            </w:r>
          </w:p>
        </w:tc>
        <w:tc>
          <w:tcPr>
            <w:tcW w:w="3257" w:type="dxa"/>
          </w:tcPr>
          <w:p w14:paraId="23C6670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收到万翔客服专员通知后，2个工作日内提供验收报告/辅材发票给最终用户。</w:t>
            </w:r>
          </w:p>
        </w:tc>
        <w:tc>
          <w:tcPr>
            <w:tcW w:w="1787" w:type="dxa"/>
          </w:tcPr>
          <w:p w14:paraId="7800FC9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万翔客服专员报单后2个工作日内</w:t>
            </w:r>
          </w:p>
        </w:tc>
        <w:tc>
          <w:tcPr>
            <w:tcW w:w="2139" w:type="dxa"/>
          </w:tcPr>
          <w:p w14:paraId="6B36219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400元/单/次，每逾期1个工作日按100元/单/工作日的标准加收违约金；</w:t>
            </w:r>
          </w:p>
        </w:tc>
      </w:tr>
      <w:tr w14:paraId="72D08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2" w:hRule="atLeast"/>
          <w:jc w:val="center"/>
        </w:trPr>
        <w:tc>
          <w:tcPr>
            <w:tcW w:w="485" w:type="dxa"/>
            <w:noWrap/>
          </w:tcPr>
          <w:p w14:paraId="3420C1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719" w:type="dxa"/>
            <w:vMerge w:val="restart"/>
            <w:noWrap/>
          </w:tcPr>
          <w:p w14:paraId="5F2A311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服务规范</w:t>
            </w:r>
          </w:p>
        </w:tc>
        <w:tc>
          <w:tcPr>
            <w:tcW w:w="1314" w:type="dxa"/>
            <w:vMerge w:val="restart"/>
          </w:tcPr>
          <w:p w14:paraId="2C762D7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态度或服务不规范，如：服务人员着装不规范，言语生硬、敷衍、态度不好；未能妥善处理客户的不满情绪；用户要求附加一些明显力所能及范围之内的服务而拒不提供服务；损坏客户物品未赔偿等违反服务规范的行为。</w:t>
            </w:r>
          </w:p>
        </w:tc>
        <w:tc>
          <w:tcPr>
            <w:tcW w:w="1038" w:type="dxa"/>
          </w:tcPr>
          <w:p w14:paraId="33F9BCF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服务前的服务规范</w:t>
            </w:r>
          </w:p>
        </w:tc>
        <w:tc>
          <w:tcPr>
            <w:tcW w:w="3257" w:type="dxa"/>
          </w:tcPr>
          <w:p w14:paraId="5BDCAF9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1）上门服务人员应着品牌工装；</w:t>
            </w:r>
          </w:p>
          <w:p w14:paraId="539ED6D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2）安装/维修前应与最终用户核对机器型号、配置和台数；如维修需要向客户核实故障现象。</w:t>
            </w:r>
          </w:p>
          <w:p w14:paraId="1BF481E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3）安装前检查确认外包装完好再拆箱安装；如有异常须及时向最终用户反馈并报备给万翔客服专员后，再进行开箱验机；</w:t>
            </w:r>
          </w:p>
          <w:p w14:paraId="58681CF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4）安装/维修前应检查最终用户的电源电压是否安全稳定，如有问题，应及时告知最终用户，协商整改；</w:t>
            </w:r>
          </w:p>
          <w:p w14:paraId="40C3807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5）由于服务单位自身原因造成多人或多次联系客户、或上门服务时发现由于自身原因不能提供服务（如上门服务发现未带物料、上门安装空调发现未取孔）；</w:t>
            </w:r>
          </w:p>
          <w:p w14:paraId="6B720F1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6）上门安装/维修时发现由于环境复杂或安装/维修有难度，拒绝为客户提供服务。</w:t>
            </w:r>
          </w:p>
        </w:tc>
        <w:tc>
          <w:tcPr>
            <w:tcW w:w="1787" w:type="dxa"/>
          </w:tcPr>
          <w:p w14:paraId="63D333D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任一条，发现未按规范</w:t>
            </w:r>
          </w:p>
        </w:tc>
        <w:tc>
          <w:tcPr>
            <w:tcW w:w="2139" w:type="dxa"/>
          </w:tcPr>
          <w:p w14:paraId="1D042AD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6037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85" w:type="dxa"/>
            <w:noWrap/>
          </w:tcPr>
          <w:p w14:paraId="0DFA2EC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w:t>
            </w:r>
          </w:p>
        </w:tc>
        <w:tc>
          <w:tcPr>
            <w:tcW w:w="719" w:type="dxa"/>
            <w:vMerge w:val="continue"/>
          </w:tcPr>
          <w:p w14:paraId="5CE37A58">
            <w:pPr>
              <w:widowControl/>
              <w:jc w:val="left"/>
              <w:rPr>
                <w:rFonts w:hint="eastAsia" w:ascii="宋体" w:hAnsi="宋体" w:cs="宋体"/>
                <w:color w:val="auto"/>
                <w:kern w:val="0"/>
                <w:sz w:val="18"/>
                <w:szCs w:val="18"/>
                <w:highlight w:val="none"/>
              </w:rPr>
            </w:pPr>
          </w:p>
        </w:tc>
        <w:tc>
          <w:tcPr>
            <w:tcW w:w="1314" w:type="dxa"/>
            <w:vMerge w:val="continue"/>
          </w:tcPr>
          <w:p w14:paraId="0DF1299B">
            <w:pPr>
              <w:widowControl/>
              <w:jc w:val="left"/>
              <w:rPr>
                <w:rFonts w:hint="eastAsia" w:ascii="宋体" w:hAnsi="宋体" w:cs="宋体"/>
                <w:color w:val="auto"/>
                <w:kern w:val="0"/>
                <w:sz w:val="18"/>
                <w:szCs w:val="18"/>
                <w:highlight w:val="none"/>
              </w:rPr>
            </w:pPr>
          </w:p>
        </w:tc>
        <w:tc>
          <w:tcPr>
            <w:tcW w:w="1038" w:type="dxa"/>
          </w:tcPr>
          <w:p w14:paraId="74B0D2A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服务中的服务规范</w:t>
            </w:r>
          </w:p>
        </w:tc>
        <w:tc>
          <w:tcPr>
            <w:tcW w:w="3257" w:type="dxa"/>
          </w:tcPr>
          <w:p w14:paraId="779DDC6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1）安装过程中发现外包装完好，开箱出现货物内损则第一时间给最终用户换机处理，并报备给万翔客服专员；</w:t>
            </w:r>
          </w:p>
          <w:p w14:paraId="13DEC7E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2）检查每台机器的服务编号；</w:t>
            </w:r>
          </w:p>
          <w:p w14:paraId="3C815B9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3) 安装时如果发现设备异常，及时与客户进行沟通，待情况核实清楚后，再行安装； </w:t>
            </w:r>
          </w:p>
          <w:p w14:paraId="27EC38C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4）免费提供所有设备的安装调试（包括计算机操作系统及补丁等应用软件安装等服务），安装完成后要开机测试以确保设备能够正常使用；</w:t>
            </w:r>
          </w:p>
          <w:p w14:paraId="38DB575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5）协助最终用户安装外设等常用设备。并根据最终用户需求进行设置。</w:t>
            </w:r>
          </w:p>
          <w:p w14:paraId="0EBF87B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6）安装位置必须保证设备的正常使用，如安装位置与客户要求不符，需要提前与客户沟通并找到适合的解决方案；</w:t>
            </w:r>
          </w:p>
          <w:p w14:paraId="24D3646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7）安装务必保障美观，不能出现设备安装歪斜、影响美观或影响设备正常使用等情况；</w:t>
            </w:r>
          </w:p>
          <w:p w14:paraId="5C90671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8）如果安装/维修数量较多，不能一天内完成，服务单位应连续为客户提供服务，并将情况及时向最终用户做汇报沟通；如有异常情况不能连续安装或暂时先离开现场，必须提前征得最终用户的同意。</w:t>
            </w:r>
          </w:p>
        </w:tc>
        <w:tc>
          <w:tcPr>
            <w:tcW w:w="1787" w:type="dxa"/>
          </w:tcPr>
          <w:p w14:paraId="17D0BD2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任一条，发现未按规范</w:t>
            </w:r>
          </w:p>
        </w:tc>
        <w:tc>
          <w:tcPr>
            <w:tcW w:w="2139" w:type="dxa"/>
          </w:tcPr>
          <w:p w14:paraId="735E2E7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5C26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3" w:hRule="atLeast"/>
          <w:jc w:val="center"/>
        </w:trPr>
        <w:tc>
          <w:tcPr>
            <w:tcW w:w="485" w:type="dxa"/>
            <w:noWrap/>
          </w:tcPr>
          <w:p w14:paraId="3ACA73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719" w:type="dxa"/>
            <w:vMerge w:val="continue"/>
          </w:tcPr>
          <w:p w14:paraId="6C362A64">
            <w:pPr>
              <w:widowControl/>
              <w:jc w:val="left"/>
              <w:rPr>
                <w:rFonts w:hint="eastAsia" w:ascii="宋体" w:hAnsi="宋体" w:cs="宋体"/>
                <w:color w:val="auto"/>
                <w:kern w:val="0"/>
                <w:sz w:val="18"/>
                <w:szCs w:val="18"/>
                <w:highlight w:val="none"/>
              </w:rPr>
            </w:pPr>
          </w:p>
        </w:tc>
        <w:tc>
          <w:tcPr>
            <w:tcW w:w="1314" w:type="dxa"/>
            <w:vMerge w:val="continue"/>
          </w:tcPr>
          <w:p w14:paraId="4B7C2061">
            <w:pPr>
              <w:widowControl/>
              <w:jc w:val="left"/>
              <w:rPr>
                <w:rFonts w:hint="eastAsia" w:ascii="宋体" w:hAnsi="宋体" w:cs="宋体"/>
                <w:color w:val="auto"/>
                <w:kern w:val="0"/>
                <w:sz w:val="18"/>
                <w:szCs w:val="18"/>
                <w:highlight w:val="none"/>
              </w:rPr>
            </w:pPr>
          </w:p>
        </w:tc>
        <w:tc>
          <w:tcPr>
            <w:tcW w:w="1038" w:type="dxa"/>
          </w:tcPr>
          <w:p w14:paraId="7817A20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服务后的服务规范</w:t>
            </w:r>
          </w:p>
        </w:tc>
        <w:tc>
          <w:tcPr>
            <w:tcW w:w="3257" w:type="dxa"/>
          </w:tcPr>
          <w:p w14:paraId="1E28A35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1)安装完毕，应和最终用户一起确认产品的正常运行。</w:t>
            </w:r>
          </w:p>
          <w:p w14:paraId="33053F6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br w:type="page"/>
            </w:r>
            <w:r>
              <w:rPr>
                <w:rFonts w:hint="eastAsia" w:ascii="宋体" w:hAnsi="宋体" w:cs="宋体"/>
                <w:color w:val="auto"/>
                <w:kern w:val="0"/>
                <w:sz w:val="18"/>
                <w:szCs w:val="18"/>
                <w:highlight w:val="none"/>
              </w:rPr>
              <w:t>2)安装完毕，并为每台机器注册信息, 应向最终用户详细讲解保修条例；如没有注册信息而导致机器在保修期内无法保修的情况，服务商要负责此维修费用。</w:t>
            </w:r>
          </w:p>
          <w:p w14:paraId="5D7B26B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br w:type="page"/>
            </w:r>
            <w:r>
              <w:rPr>
                <w:rFonts w:hint="eastAsia" w:ascii="宋体" w:hAnsi="宋体" w:cs="宋体"/>
                <w:color w:val="auto"/>
                <w:kern w:val="0"/>
                <w:sz w:val="18"/>
                <w:szCs w:val="18"/>
                <w:highlight w:val="none"/>
              </w:rPr>
              <w:t>3)安装完毕，应向最终用户详细讲解使用操作方法和日常维护保养措施，耐心解答最终用户提出的问题，并留下服务电话；在设备合适的地方填(贴)上机器信息（包括报修电话、机器序列号及服务号），以方便最终用户报修。</w:t>
            </w:r>
            <w:r>
              <w:rPr>
                <w:rFonts w:hint="eastAsia" w:ascii="宋体" w:hAnsi="宋体" w:cs="宋体"/>
                <w:color w:val="auto"/>
                <w:kern w:val="0"/>
                <w:sz w:val="18"/>
                <w:szCs w:val="18"/>
                <w:highlight w:val="none"/>
              </w:rPr>
              <w:br w:type="page"/>
            </w:r>
          </w:p>
          <w:p w14:paraId="48F4AB0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4）安装/维修等服务结束后，应把工作现场打扫干净，将工具等物品复位，并将安装/维修过程中产生的垃圾带离现场。</w:t>
            </w:r>
          </w:p>
          <w:p w14:paraId="75DA69B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br w:type="page"/>
            </w:r>
            <w:r>
              <w:rPr>
                <w:rFonts w:hint="eastAsia" w:ascii="宋体" w:hAnsi="宋体" w:cs="宋体"/>
                <w:color w:val="auto"/>
                <w:kern w:val="0"/>
                <w:sz w:val="18"/>
                <w:szCs w:val="18"/>
                <w:highlight w:val="none"/>
              </w:rPr>
              <w:t>5）安装完毕，应将《厦门市大宗货物政府采购供货验收单》按万翔网商要求打印并交给客户盖章、签字。</w:t>
            </w:r>
            <w:r>
              <w:rPr>
                <w:rFonts w:hint="eastAsia" w:ascii="宋体" w:hAnsi="宋体" w:cs="宋体"/>
                <w:color w:val="auto"/>
                <w:kern w:val="0"/>
                <w:sz w:val="18"/>
                <w:szCs w:val="18"/>
                <w:highlight w:val="none"/>
              </w:rPr>
              <w:br w:type="page"/>
            </w:r>
          </w:p>
        </w:tc>
        <w:tc>
          <w:tcPr>
            <w:tcW w:w="1787" w:type="dxa"/>
          </w:tcPr>
          <w:p w14:paraId="1E1E032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任一条，发现未按规范</w:t>
            </w:r>
          </w:p>
        </w:tc>
        <w:tc>
          <w:tcPr>
            <w:tcW w:w="2139" w:type="dxa"/>
          </w:tcPr>
          <w:p w14:paraId="47D635C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2807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485" w:type="dxa"/>
            <w:noWrap/>
          </w:tcPr>
          <w:p w14:paraId="461867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w:t>
            </w:r>
          </w:p>
        </w:tc>
        <w:tc>
          <w:tcPr>
            <w:tcW w:w="719" w:type="dxa"/>
            <w:vMerge w:val="continue"/>
          </w:tcPr>
          <w:p w14:paraId="26E7B578">
            <w:pPr>
              <w:widowControl/>
              <w:jc w:val="left"/>
              <w:rPr>
                <w:rFonts w:hint="eastAsia" w:ascii="宋体" w:hAnsi="宋体" w:cs="宋体"/>
                <w:color w:val="auto"/>
                <w:kern w:val="0"/>
                <w:sz w:val="18"/>
                <w:szCs w:val="18"/>
                <w:highlight w:val="none"/>
              </w:rPr>
            </w:pPr>
          </w:p>
        </w:tc>
        <w:tc>
          <w:tcPr>
            <w:tcW w:w="1314" w:type="dxa"/>
            <w:vMerge w:val="continue"/>
          </w:tcPr>
          <w:p w14:paraId="44DEC787">
            <w:pPr>
              <w:widowControl/>
              <w:jc w:val="left"/>
              <w:rPr>
                <w:rFonts w:hint="eastAsia" w:ascii="宋体" w:hAnsi="宋体" w:cs="宋体"/>
                <w:color w:val="auto"/>
                <w:kern w:val="0"/>
                <w:sz w:val="18"/>
                <w:szCs w:val="18"/>
                <w:highlight w:val="none"/>
              </w:rPr>
            </w:pPr>
          </w:p>
        </w:tc>
        <w:tc>
          <w:tcPr>
            <w:tcW w:w="1038" w:type="dxa"/>
          </w:tcPr>
          <w:p w14:paraId="1E8A232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服务仪表、态度</w:t>
            </w:r>
          </w:p>
        </w:tc>
        <w:tc>
          <w:tcPr>
            <w:tcW w:w="3257" w:type="dxa"/>
          </w:tcPr>
          <w:p w14:paraId="725A48B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服务人员着装应规范，言语不生硬、不敷衍、态度好；妥善处理客户的不满情绪；</w:t>
            </w:r>
          </w:p>
        </w:tc>
        <w:tc>
          <w:tcPr>
            <w:tcW w:w="1787" w:type="dxa"/>
          </w:tcPr>
          <w:p w14:paraId="5B1A851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768A8B1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6E60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485" w:type="dxa"/>
            <w:noWrap/>
          </w:tcPr>
          <w:p w14:paraId="027B0F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719" w:type="dxa"/>
            <w:vMerge w:val="continue"/>
          </w:tcPr>
          <w:p w14:paraId="66EAACF9">
            <w:pPr>
              <w:widowControl/>
              <w:jc w:val="left"/>
              <w:rPr>
                <w:rFonts w:hint="eastAsia" w:ascii="宋体" w:hAnsi="宋体" w:cs="宋体"/>
                <w:color w:val="auto"/>
                <w:kern w:val="0"/>
                <w:sz w:val="18"/>
                <w:szCs w:val="18"/>
                <w:highlight w:val="none"/>
              </w:rPr>
            </w:pPr>
          </w:p>
        </w:tc>
        <w:tc>
          <w:tcPr>
            <w:tcW w:w="1314" w:type="dxa"/>
            <w:vMerge w:val="continue"/>
          </w:tcPr>
          <w:p w14:paraId="7A922E49">
            <w:pPr>
              <w:widowControl/>
              <w:jc w:val="left"/>
              <w:rPr>
                <w:rFonts w:hint="eastAsia" w:ascii="宋体" w:hAnsi="宋体" w:cs="宋体"/>
                <w:color w:val="auto"/>
                <w:kern w:val="0"/>
                <w:sz w:val="18"/>
                <w:szCs w:val="18"/>
                <w:highlight w:val="none"/>
              </w:rPr>
            </w:pPr>
          </w:p>
        </w:tc>
        <w:tc>
          <w:tcPr>
            <w:tcW w:w="1038" w:type="dxa"/>
          </w:tcPr>
          <w:p w14:paraId="33C5531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额外情况规范</w:t>
            </w:r>
          </w:p>
        </w:tc>
        <w:tc>
          <w:tcPr>
            <w:tcW w:w="3257" w:type="dxa"/>
          </w:tcPr>
          <w:p w14:paraId="4ABF8F23">
            <w:pPr>
              <w:widowControl/>
              <w:spacing w:after="24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1）电话联系客户时间及上门服务时间必须在最终用户的正常工作时间内，已提前沟通且客户同意的情况下除外。</w:t>
            </w:r>
          </w:p>
          <w:p w14:paraId="362B51E4">
            <w:pPr>
              <w:widowControl/>
              <w:spacing w:after="24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用户要求附加一些明显力所能及范围之内的服务应配合处理；或者其它品牌产品出现故障需要卖方工程师帮助解决。卖方工程师不得拒绝最终用户，在条件许可的前提下为最终用户解决。如果无法修复应协助最终用户报修相应的服务商或者给出解决方案。</w:t>
            </w:r>
          </w:p>
        </w:tc>
        <w:tc>
          <w:tcPr>
            <w:tcW w:w="1787" w:type="dxa"/>
          </w:tcPr>
          <w:p w14:paraId="712B934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22778AA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724C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85" w:type="dxa"/>
            <w:noWrap/>
          </w:tcPr>
          <w:p w14:paraId="23E0D5D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719" w:type="dxa"/>
            <w:vMerge w:val="continue"/>
          </w:tcPr>
          <w:p w14:paraId="4B8805AF">
            <w:pPr>
              <w:widowControl/>
              <w:jc w:val="left"/>
              <w:rPr>
                <w:rFonts w:hint="eastAsia" w:ascii="宋体" w:hAnsi="宋体" w:cs="宋体"/>
                <w:color w:val="auto"/>
                <w:kern w:val="0"/>
                <w:sz w:val="18"/>
                <w:szCs w:val="18"/>
                <w:highlight w:val="none"/>
              </w:rPr>
            </w:pPr>
          </w:p>
        </w:tc>
        <w:tc>
          <w:tcPr>
            <w:tcW w:w="1314" w:type="dxa"/>
            <w:vMerge w:val="continue"/>
          </w:tcPr>
          <w:p w14:paraId="59A1BAD4">
            <w:pPr>
              <w:widowControl/>
              <w:jc w:val="left"/>
              <w:rPr>
                <w:rFonts w:hint="eastAsia" w:ascii="宋体" w:hAnsi="宋体" w:cs="宋体"/>
                <w:color w:val="auto"/>
                <w:kern w:val="0"/>
                <w:sz w:val="18"/>
                <w:szCs w:val="18"/>
                <w:highlight w:val="none"/>
              </w:rPr>
            </w:pPr>
          </w:p>
        </w:tc>
        <w:tc>
          <w:tcPr>
            <w:tcW w:w="1038" w:type="dxa"/>
          </w:tcPr>
          <w:p w14:paraId="0C574F4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意外情况规范</w:t>
            </w:r>
          </w:p>
        </w:tc>
        <w:tc>
          <w:tcPr>
            <w:tcW w:w="3257" w:type="dxa"/>
          </w:tcPr>
          <w:p w14:paraId="7D42210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1）服务过程中如有损坏客户物品，应及时与客户沟通赔偿方案，并在约定时间内进行赔偿。</w:t>
            </w:r>
          </w:p>
          <w:p w14:paraId="64B46B4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2）安装的设备务必保证使用安全，不能出现在使用过程中掉落等意外情况；</w:t>
            </w:r>
          </w:p>
        </w:tc>
        <w:tc>
          <w:tcPr>
            <w:tcW w:w="1787" w:type="dxa"/>
          </w:tcPr>
          <w:p w14:paraId="5614463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5D1C863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1CDE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485" w:type="dxa"/>
            <w:noWrap/>
          </w:tcPr>
          <w:p w14:paraId="754DA5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719" w:type="dxa"/>
            <w:vMerge w:val="continue"/>
          </w:tcPr>
          <w:p w14:paraId="2E37C8E9">
            <w:pPr>
              <w:widowControl/>
              <w:jc w:val="left"/>
              <w:rPr>
                <w:rFonts w:hint="eastAsia" w:ascii="宋体" w:hAnsi="宋体" w:cs="宋体"/>
                <w:color w:val="auto"/>
                <w:kern w:val="0"/>
                <w:sz w:val="18"/>
                <w:szCs w:val="18"/>
                <w:highlight w:val="none"/>
              </w:rPr>
            </w:pPr>
          </w:p>
        </w:tc>
        <w:tc>
          <w:tcPr>
            <w:tcW w:w="1314" w:type="dxa"/>
            <w:vMerge w:val="continue"/>
          </w:tcPr>
          <w:p w14:paraId="2D84FE55">
            <w:pPr>
              <w:widowControl/>
              <w:jc w:val="left"/>
              <w:rPr>
                <w:rFonts w:hint="eastAsia" w:ascii="宋体" w:hAnsi="宋体" w:cs="宋体"/>
                <w:color w:val="auto"/>
                <w:kern w:val="0"/>
                <w:sz w:val="18"/>
                <w:szCs w:val="18"/>
                <w:highlight w:val="none"/>
              </w:rPr>
            </w:pPr>
          </w:p>
        </w:tc>
        <w:tc>
          <w:tcPr>
            <w:tcW w:w="1038" w:type="dxa"/>
          </w:tcPr>
          <w:p w14:paraId="39C861E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备用机使用</w:t>
            </w:r>
          </w:p>
        </w:tc>
        <w:tc>
          <w:tcPr>
            <w:tcW w:w="3257" w:type="dxa"/>
          </w:tcPr>
          <w:p w14:paraId="1A30E6A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反馈客服专员确认使用备用机，如无同型号备用机使用，需提供符合客户需求的其他型号设备使用，备用机必须无偿进行安装调试，并签订《产品备用机使用单》，报修机解除故障归还客户后，还需现场调试，并在《产品备用机使用单》上签署明确可正常使用，才可退还备用机</w:t>
            </w:r>
          </w:p>
        </w:tc>
        <w:tc>
          <w:tcPr>
            <w:tcW w:w="1787" w:type="dxa"/>
          </w:tcPr>
          <w:p w14:paraId="7D860C7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未提供备用机的安装调试等；或者客户机子还未修复好，就要求客户归还备用机</w:t>
            </w:r>
          </w:p>
        </w:tc>
        <w:tc>
          <w:tcPr>
            <w:tcW w:w="2139" w:type="dxa"/>
          </w:tcPr>
          <w:p w14:paraId="6C7B93C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0A9E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485" w:type="dxa"/>
            <w:noWrap/>
          </w:tcPr>
          <w:p w14:paraId="0ED189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w:t>
            </w:r>
          </w:p>
        </w:tc>
        <w:tc>
          <w:tcPr>
            <w:tcW w:w="719" w:type="dxa"/>
          </w:tcPr>
          <w:p w14:paraId="459B194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服务质量</w:t>
            </w:r>
          </w:p>
        </w:tc>
        <w:tc>
          <w:tcPr>
            <w:tcW w:w="1314" w:type="dxa"/>
          </w:tcPr>
          <w:p w14:paraId="0E93B73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服务人员不具备服务能力；</w:t>
            </w:r>
          </w:p>
          <w:p w14:paraId="3E0FA0A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维修后一个月内又出现同样故障、或同一故障频繁重复再现；</w:t>
            </w:r>
          </w:p>
        </w:tc>
        <w:tc>
          <w:tcPr>
            <w:tcW w:w="1038" w:type="dxa"/>
          </w:tcPr>
          <w:p w14:paraId="327F751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客户报修频率</w:t>
            </w:r>
          </w:p>
        </w:tc>
        <w:tc>
          <w:tcPr>
            <w:tcW w:w="3257" w:type="dxa"/>
          </w:tcPr>
          <w:p w14:paraId="1160CCD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1）一个月内再次出现同样故障。或者故障反复出现。</w:t>
            </w:r>
          </w:p>
          <w:p w14:paraId="7898F59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2）明确由于服务引发的产品其他故障。</w:t>
            </w:r>
          </w:p>
          <w:p w14:paraId="5BEA6C5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3）服务人员上门后表示不会安装或维修，或安装/维修操作不熟练。</w:t>
            </w:r>
          </w:p>
        </w:tc>
        <w:tc>
          <w:tcPr>
            <w:tcW w:w="1787" w:type="dxa"/>
          </w:tcPr>
          <w:p w14:paraId="2DDF403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43AC00A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400元/次</w:t>
            </w:r>
          </w:p>
        </w:tc>
      </w:tr>
      <w:tr w14:paraId="0FC21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485" w:type="dxa"/>
            <w:noWrap/>
          </w:tcPr>
          <w:p w14:paraId="4FC41C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c>
          <w:tcPr>
            <w:tcW w:w="719" w:type="dxa"/>
          </w:tcPr>
          <w:p w14:paraId="445384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收费</w:t>
            </w:r>
          </w:p>
        </w:tc>
        <w:tc>
          <w:tcPr>
            <w:tcW w:w="1314" w:type="dxa"/>
          </w:tcPr>
          <w:p w14:paraId="31BE8E6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未按合同规定操作，未提前与最终用户沟通收费标准，多收费或乱收费</w:t>
            </w:r>
          </w:p>
        </w:tc>
        <w:tc>
          <w:tcPr>
            <w:tcW w:w="1038" w:type="dxa"/>
          </w:tcPr>
          <w:p w14:paraId="1058BF2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收费项目</w:t>
            </w:r>
          </w:p>
        </w:tc>
        <w:tc>
          <w:tcPr>
            <w:tcW w:w="3257" w:type="dxa"/>
          </w:tcPr>
          <w:p w14:paraId="77D77E2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1）有偿服务的范围，应按合同约定的收费标准或公司定价向客户说明并提前报价给客户，合同中明确免费的不得向客户收费，合同中明确免费的不能以隐瞒或欺骗的方式向客户提供收费的替代物料。</w:t>
            </w:r>
          </w:p>
          <w:p w14:paraId="7A90EFD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2）报价时应向客户提供清单明细，包括规格型号、单价、数量、总价、保修时间（如有）、保修方式（如有）；</w:t>
            </w:r>
          </w:p>
          <w:p w14:paraId="44F81D7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3）提供服务前必须征得最终用户的同意；不能出现服务完成后才告知客户需要收费。</w:t>
            </w:r>
          </w:p>
        </w:tc>
        <w:tc>
          <w:tcPr>
            <w:tcW w:w="1787" w:type="dxa"/>
          </w:tcPr>
          <w:p w14:paraId="61377C4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客户反馈属实。</w:t>
            </w:r>
          </w:p>
        </w:tc>
        <w:tc>
          <w:tcPr>
            <w:tcW w:w="2139" w:type="dxa"/>
          </w:tcPr>
          <w:p w14:paraId="00058AB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13C3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85" w:type="dxa"/>
            <w:noWrap/>
          </w:tcPr>
          <w:p w14:paraId="7D8959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19</w:t>
            </w:r>
          </w:p>
        </w:tc>
        <w:tc>
          <w:tcPr>
            <w:tcW w:w="719" w:type="dxa"/>
            <w:vMerge w:val="restart"/>
          </w:tcPr>
          <w:p w14:paraId="5E9D38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验收报告回收时效</w:t>
            </w:r>
          </w:p>
        </w:tc>
        <w:tc>
          <w:tcPr>
            <w:tcW w:w="1314" w:type="dxa"/>
            <w:vMerge w:val="restart"/>
          </w:tcPr>
          <w:p w14:paraId="7FDD41C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未按合同规定，安装调试完成后应及时反馈给买方，并按照买方要求由最终用户填写《验收报告》，三个工作日内报送给买方。超过5个工作日仍未回收的，按每逾期一天10元/单的标准加收违约金。</w:t>
            </w:r>
          </w:p>
        </w:tc>
        <w:tc>
          <w:tcPr>
            <w:tcW w:w="1038" w:type="dxa"/>
          </w:tcPr>
          <w:p w14:paraId="092B89B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提供给最终用户验收报告的时效</w:t>
            </w:r>
          </w:p>
        </w:tc>
        <w:tc>
          <w:tcPr>
            <w:tcW w:w="3257" w:type="dxa"/>
          </w:tcPr>
          <w:p w14:paraId="0D21787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1）安装完成后及时提供“验收报告”给最终用户，其中“客户联”留给客户，将其他联在2个工作日内（安装调试完毕后，次日算第一天）回收；</w:t>
            </w:r>
          </w:p>
          <w:p w14:paraId="2BA1723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2）如验收报告超出约定时间提供，必须提前与最终用户做好沟通并征得最终用户的同意。</w:t>
            </w:r>
          </w:p>
        </w:tc>
        <w:tc>
          <w:tcPr>
            <w:tcW w:w="1787" w:type="dxa"/>
          </w:tcPr>
          <w:p w14:paraId="3C45519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安装后超过2个工作日客户催验收报告。</w:t>
            </w:r>
          </w:p>
        </w:tc>
        <w:tc>
          <w:tcPr>
            <w:tcW w:w="2139" w:type="dxa"/>
          </w:tcPr>
          <w:p w14:paraId="7B30FAF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200元/次+（N-1）*10元/台/次</w:t>
            </w:r>
          </w:p>
        </w:tc>
      </w:tr>
      <w:tr w14:paraId="0565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485" w:type="dxa"/>
            <w:noWrap/>
          </w:tcPr>
          <w:p w14:paraId="570DA9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719" w:type="dxa"/>
            <w:vMerge w:val="continue"/>
          </w:tcPr>
          <w:p w14:paraId="449964F9">
            <w:pPr>
              <w:widowControl/>
              <w:jc w:val="left"/>
              <w:rPr>
                <w:rFonts w:hint="eastAsia" w:ascii="宋体" w:hAnsi="宋体" w:cs="宋体"/>
                <w:color w:val="auto"/>
                <w:kern w:val="0"/>
                <w:sz w:val="18"/>
                <w:szCs w:val="18"/>
                <w:highlight w:val="none"/>
              </w:rPr>
            </w:pPr>
          </w:p>
        </w:tc>
        <w:tc>
          <w:tcPr>
            <w:tcW w:w="1314" w:type="dxa"/>
            <w:vMerge w:val="continue"/>
          </w:tcPr>
          <w:p w14:paraId="5A3B2776">
            <w:pPr>
              <w:widowControl/>
              <w:jc w:val="left"/>
              <w:rPr>
                <w:rFonts w:hint="eastAsia" w:ascii="宋体" w:hAnsi="宋体" w:cs="宋体"/>
                <w:color w:val="auto"/>
                <w:kern w:val="0"/>
                <w:sz w:val="18"/>
                <w:szCs w:val="18"/>
                <w:highlight w:val="none"/>
              </w:rPr>
            </w:pPr>
          </w:p>
        </w:tc>
        <w:tc>
          <w:tcPr>
            <w:tcW w:w="1038" w:type="dxa"/>
          </w:tcPr>
          <w:p w14:paraId="266197C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提供客户签盖的验收报告给万翔</w:t>
            </w:r>
          </w:p>
        </w:tc>
        <w:tc>
          <w:tcPr>
            <w:tcW w:w="3257" w:type="dxa"/>
          </w:tcPr>
          <w:p w14:paraId="1D2417B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安装验收后5个工作日内将“验收报告”按要求返回给万翔网商，如超出时间未返回，必须提前向万翔客服说明情况；如万翔网商未收到反馈且在安装后5个工作日内未收到返回的“验收报告”则视为延误。</w:t>
            </w:r>
          </w:p>
        </w:tc>
        <w:tc>
          <w:tcPr>
            <w:tcW w:w="1787" w:type="dxa"/>
          </w:tcPr>
          <w:p w14:paraId="21C19E4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安装后超过5个工作日万翔网商未收到验收报告</w:t>
            </w:r>
          </w:p>
        </w:tc>
        <w:tc>
          <w:tcPr>
            <w:tcW w:w="2139" w:type="dxa"/>
          </w:tcPr>
          <w:p w14:paraId="2E3F54B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200元/次+（N-1）*10元/台/次</w:t>
            </w:r>
          </w:p>
        </w:tc>
      </w:tr>
      <w:tr w14:paraId="2398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5" w:type="dxa"/>
            <w:noWrap/>
          </w:tcPr>
          <w:p w14:paraId="7C28A37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21</w:t>
            </w:r>
          </w:p>
        </w:tc>
        <w:tc>
          <w:tcPr>
            <w:tcW w:w="719" w:type="dxa"/>
            <w:vMerge w:val="restart"/>
          </w:tcPr>
          <w:p w14:paraId="2EBA30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信息反馈</w:t>
            </w:r>
          </w:p>
        </w:tc>
        <w:tc>
          <w:tcPr>
            <w:tcW w:w="1314" w:type="dxa"/>
            <w:vMerge w:val="restart"/>
          </w:tcPr>
          <w:p w14:paraId="472497A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未按买方要求反馈所需报表，或所提供报表信息存在虚假的问题。</w:t>
            </w:r>
          </w:p>
        </w:tc>
        <w:tc>
          <w:tcPr>
            <w:tcW w:w="1038" w:type="dxa"/>
          </w:tcPr>
          <w:p w14:paraId="4DE93E6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服务商操作平台进度回复</w:t>
            </w:r>
          </w:p>
        </w:tc>
        <w:tc>
          <w:tcPr>
            <w:tcW w:w="3257" w:type="dxa"/>
          </w:tcPr>
          <w:p w14:paraId="1A48FD9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在收到买方派单后且在服务完成后一个工作日内进行回复</w:t>
            </w:r>
          </w:p>
        </w:tc>
        <w:tc>
          <w:tcPr>
            <w:tcW w:w="1787" w:type="dxa"/>
            <w:noWrap/>
          </w:tcPr>
          <w:p w14:paraId="5EF98B9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回复不及时、虚假信息等</w:t>
            </w:r>
          </w:p>
        </w:tc>
        <w:tc>
          <w:tcPr>
            <w:tcW w:w="2139" w:type="dxa"/>
          </w:tcPr>
          <w:p w14:paraId="643B188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4FA7D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5" w:type="dxa"/>
            <w:noWrap/>
          </w:tcPr>
          <w:p w14:paraId="72D173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22</w:t>
            </w:r>
          </w:p>
        </w:tc>
        <w:tc>
          <w:tcPr>
            <w:tcW w:w="719" w:type="dxa"/>
            <w:vMerge w:val="continue"/>
          </w:tcPr>
          <w:p w14:paraId="2FCADC5D">
            <w:pPr>
              <w:widowControl/>
              <w:jc w:val="left"/>
              <w:rPr>
                <w:rFonts w:hint="eastAsia" w:ascii="宋体" w:hAnsi="宋体" w:cs="宋体"/>
                <w:color w:val="auto"/>
                <w:kern w:val="0"/>
                <w:sz w:val="18"/>
                <w:szCs w:val="18"/>
                <w:highlight w:val="none"/>
              </w:rPr>
            </w:pPr>
          </w:p>
        </w:tc>
        <w:tc>
          <w:tcPr>
            <w:tcW w:w="1314" w:type="dxa"/>
            <w:vMerge w:val="continue"/>
          </w:tcPr>
          <w:p w14:paraId="7F725088">
            <w:pPr>
              <w:widowControl/>
              <w:jc w:val="left"/>
              <w:rPr>
                <w:rFonts w:hint="eastAsia" w:ascii="宋体" w:hAnsi="宋体" w:cs="宋体"/>
                <w:color w:val="auto"/>
                <w:kern w:val="0"/>
                <w:sz w:val="18"/>
                <w:szCs w:val="18"/>
                <w:highlight w:val="none"/>
              </w:rPr>
            </w:pPr>
          </w:p>
        </w:tc>
        <w:tc>
          <w:tcPr>
            <w:tcW w:w="1038" w:type="dxa"/>
          </w:tcPr>
          <w:p w14:paraId="3DECCBF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日常售后回复信息</w:t>
            </w:r>
          </w:p>
        </w:tc>
        <w:tc>
          <w:tcPr>
            <w:tcW w:w="3257" w:type="dxa"/>
          </w:tcPr>
          <w:p w14:paraId="63843B5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在收到买方派单后应按照合同要求及时进行回复</w:t>
            </w:r>
          </w:p>
        </w:tc>
        <w:tc>
          <w:tcPr>
            <w:tcW w:w="1787" w:type="dxa"/>
            <w:noWrap/>
          </w:tcPr>
          <w:p w14:paraId="1F87DAC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催安装、报修、退换货等售后需求，处理情况虚假等</w:t>
            </w:r>
          </w:p>
        </w:tc>
        <w:tc>
          <w:tcPr>
            <w:tcW w:w="2139" w:type="dxa"/>
          </w:tcPr>
          <w:p w14:paraId="1F63E26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7162E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5" w:type="dxa"/>
            <w:noWrap/>
          </w:tcPr>
          <w:p w14:paraId="290C27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23</w:t>
            </w:r>
          </w:p>
        </w:tc>
        <w:tc>
          <w:tcPr>
            <w:tcW w:w="719" w:type="dxa"/>
            <w:vMerge w:val="continue"/>
          </w:tcPr>
          <w:p w14:paraId="49AAD7A3">
            <w:pPr>
              <w:widowControl/>
              <w:jc w:val="left"/>
              <w:rPr>
                <w:rFonts w:hint="eastAsia" w:ascii="宋体" w:hAnsi="宋体" w:cs="宋体"/>
                <w:color w:val="auto"/>
                <w:kern w:val="0"/>
                <w:sz w:val="18"/>
                <w:szCs w:val="18"/>
                <w:highlight w:val="none"/>
              </w:rPr>
            </w:pPr>
          </w:p>
        </w:tc>
        <w:tc>
          <w:tcPr>
            <w:tcW w:w="1314" w:type="dxa"/>
            <w:vMerge w:val="continue"/>
          </w:tcPr>
          <w:p w14:paraId="50C0D300">
            <w:pPr>
              <w:widowControl/>
              <w:jc w:val="left"/>
              <w:rPr>
                <w:rFonts w:hint="eastAsia" w:ascii="宋体" w:hAnsi="宋体" w:cs="宋体"/>
                <w:color w:val="auto"/>
                <w:kern w:val="0"/>
                <w:sz w:val="18"/>
                <w:szCs w:val="18"/>
                <w:highlight w:val="none"/>
              </w:rPr>
            </w:pPr>
          </w:p>
        </w:tc>
        <w:tc>
          <w:tcPr>
            <w:tcW w:w="1038" w:type="dxa"/>
          </w:tcPr>
          <w:p w14:paraId="319D64C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其他万翔要求提供的信息</w:t>
            </w:r>
          </w:p>
        </w:tc>
        <w:tc>
          <w:tcPr>
            <w:tcW w:w="3257" w:type="dxa"/>
          </w:tcPr>
          <w:p w14:paraId="160E05B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在收到买方派单后应按照合同要求及时进行回复</w:t>
            </w:r>
          </w:p>
        </w:tc>
        <w:tc>
          <w:tcPr>
            <w:tcW w:w="1787" w:type="dxa"/>
            <w:noWrap/>
          </w:tcPr>
          <w:p w14:paraId="147EF42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信息虚假等</w:t>
            </w:r>
          </w:p>
        </w:tc>
        <w:tc>
          <w:tcPr>
            <w:tcW w:w="2139" w:type="dxa"/>
          </w:tcPr>
          <w:p w14:paraId="1445959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500元/次</w:t>
            </w:r>
          </w:p>
        </w:tc>
      </w:tr>
      <w:tr w14:paraId="2B74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5" w:type="dxa"/>
            <w:noWrap/>
          </w:tcPr>
          <w:p w14:paraId="10A69A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24</w:t>
            </w:r>
          </w:p>
        </w:tc>
        <w:tc>
          <w:tcPr>
            <w:tcW w:w="719" w:type="dxa"/>
            <w:vMerge w:val="restart"/>
          </w:tcPr>
          <w:p w14:paraId="4BBE5F4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投诉（根据卖方产品质量、服务造成用户投诉的层级进计收违约金，当投诉涉及多个层级以最高层级计收违约金标准为准）</w:t>
            </w:r>
          </w:p>
        </w:tc>
        <w:tc>
          <w:tcPr>
            <w:tcW w:w="1314" w:type="dxa"/>
          </w:tcPr>
          <w:p w14:paraId="6A61862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1、投诉至买方售后服务部门并得以证实                                        </w:t>
            </w:r>
          </w:p>
        </w:tc>
        <w:tc>
          <w:tcPr>
            <w:tcW w:w="1038" w:type="dxa"/>
          </w:tcPr>
          <w:p w14:paraId="7E79E06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投诉到万翔售后</w:t>
            </w:r>
          </w:p>
        </w:tc>
        <w:tc>
          <w:tcPr>
            <w:tcW w:w="3257" w:type="dxa"/>
          </w:tcPr>
          <w:p w14:paraId="7E5C07A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应妥善处理客户不满或者需求，不应让客户向万翔投诉</w:t>
            </w:r>
          </w:p>
        </w:tc>
        <w:tc>
          <w:tcPr>
            <w:tcW w:w="1787" w:type="dxa"/>
            <w:noWrap/>
          </w:tcPr>
          <w:p w14:paraId="0AEFA72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服务商无法证明情况不属实</w:t>
            </w:r>
          </w:p>
        </w:tc>
        <w:tc>
          <w:tcPr>
            <w:tcW w:w="2139" w:type="dxa"/>
          </w:tcPr>
          <w:p w14:paraId="78458C6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10000元/次</w:t>
            </w:r>
          </w:p>
        </w:tc>
      </w:tr>
      <w:tr w14:paraId="74CD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5" w:type="dxa"/>
            <w:noWrap/>
          </w:tcPr>
          <w:p w14:paraId="14508F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w:t>
            </w:r>
          </w:p>
        </w:tc>
        <w:tc>
          <w:tcPr>
            <w:tcW w:w="719" w:type="dxa"/>
            <w:vMerge w:val="continue"/>
          </w:tcPr>
          <w:p w14:paraId="1B9DD4B7">
            <w:pPr>
              <w:widowControl/>
              <w:jc w:val="left"/>
              <w:rPr>
                <w:rFonts w:hint="eastAsia" w:ascii="宋体" w:hAnsi="宋体" w:cs="宋体"/>
                <w:color w:val="auto"/>
                <w:kern w:val="0"/>
                <w:sz w:val="18"/>
                <w:szCs w:val="18"/>
                <w:highlight w:val="none"/>
              </w:rPr>
            </w:pPr>
          </w:p>
        </w:tc>
        <w:tc>
          <w:tcPr>
            <w:tcW w:w="1314" w:type="dxa"/>
          </w:tcPr>
          <w:p w14:paraId="1C11545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2、投诉至厦门翔业集团内部监管部门并得以证实          </w:t>
            </w:r>
          </w:p>
        </w:tc>
        <w:tc>
          <w:tcPr>
            <w:tcW w:w="1038" w:type="dxa"/>
          </w:tcPr>
          <w:p w14:paraId="60E3D3E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投诉到翔业集团内部监管部门</w:t>
            </w:r>
          </w:p>
        </w:tc>
        <w:tc>
          <w:tcPr>
            <w:tcW w:w="3257" w:type="dxa"/>
          </w:tcPr>
          <w:p w14:paraId="44A5C50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应妥善处理客户不满或者需求，不应让客户向翔业集团监管部门投诉</w:t>
            </w:r>
          </w:p>
        </w:tc>
        <w:tc>
          <w:tcPr>
            <w:tcW w:w="1787" w:type="dxa"/>
            <w:noWrap/>
          </w:tcPr>
          <w:p w14:paraId="3FF47CE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服务商无法证明情况不属实</w:t>
            </w:r>
          </w:p>
        </w:tc>
        <w:tc>
          <w:tcPr>
            <w:tcW w:w="2139" w:type="dxa"/>
          </w:tcPr>
          <w:p w14:paraId="09CB20E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20000元/次</w:t>
            </w:r>
          </w:p>
        </w:tc>
      </w:tr>
      <w:tr w14:paraId="51AC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485" w:type="dxa"/>
            <w:noWrap/>
          </w:tcPr>
          <w:p w14:paraId="16CA25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26</w:t>
            </w:r>
          </w:p>
        </w:tc>
        <w:tc>
          <w:tcPr>
            <w:tcW w:w="719" w:type="dxa"/>
            <w:vMerge w:val="continue"/>
          </w:tcPr>
          <w:p w14:paraId="16E2342D">
            <w:pPr>
              <w:widowControl/>
              <w:jc w:val="left"/>
              <w:rPr>
                <w:rFonts w:hint="eastAsia" w:ascii="宋体" w:hAnsi="宋体" w:cs="宋体"/>
                <w:color w:val="auto"/>
                <w:kern w:val="0"/>
                <w:sz w:val="18"/>
                <w:szCs w:val="18"/>
                <w:highlight w:val="none"/>
              </w:rPr>
            </w:pPr>
          </w:p>
        </w:tc>
        <w:tc>
          <w:tcPr>
            <w:tcW w:w="1314" w:type="dxa"/>
          </w:tcPr>
          <w:p w14:paraId="5CF2F4D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3、投诉至社会监管部门（如工商局等）并得到证实</w:t>
            </w:r>
          </w:p>
        </w:tc>
        <w:tc>
          <w:tcPr>
            <w:tcW w:w="1038" w:type="dxa"/>
          </w:tcPr>
          <w:p w14:paraId="3B85931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投诉到社会监管部门</w:t>
            </w:r>
          </w:p>
        </w:tc>
        <w:tc>
          <w:tcPr>
            <w:tcW w:w="3257" w:type="dxa"/>
          </w:tcPr>
          <w:p w14:paraId="3B79694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应妥善处理客户不满或者需求，不应让客户社会监管部门投诉</w:t>
            </w:r>
          </w:p>
        </w:tc>
        <w:tc>
          <w:tcPr>
            <w:tcW w:w="1787" w:type="dxa"/>
          </w:tcPr>
          <w:p w14:paraId="3FF369A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服务商无法取得社会监管部门撤诉</w:t>
            </w:r>
          </w:p>
        </w:tc>
        <w:tc>
          <w:tcPr>
            <w:tcW w:w="2139" w:type="dxa"/>
          </w:tcPr>
          <w:p w14:paraId="2173312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40000元/次</w:t>
            </w:r>
          </w:p>
        </w:tc>
      </w:tr>
      <w:tr w14:paraId="1985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485" w:type="dxa"/>
            <w:tcBorders>
              <w:bottom w:val="single" w:color="000000" w:themeColor="text1" w:sz="4" w:space="0"/>
            </w:tcBorders>
            <w:noWrap/>
          </w:tcPr>
          <w:p w14:paraId="4CFB24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27</w:t>
            </w:r>
          </w:p>
        </w:tc>
        <w:tc>
          <w:tcPr>
            <w:tcW w:w="719" w:type="dxa"/>
            <w:vMerge w:val="continue"/>
            <w:tcBorders>
              <w:bottom w:val="single" w:color="000000" w:themeColor="text1" w:sz="4" w:space="0"/>
            </w:tcBorders>
          </w:tcPr>
          <w:p w14:paraId="0E8B2F6F">
            <w:pPr>
              <w:widowControl/>
              <w:jc w:val="left"/>
              <w:rPr>
                <w:rFonts w:hint="eastAsia" w:ascii="宋体" w:hAnsi="宋体" w:cs="宋体"/>
                <w:color w:val="auto"/>
                <w:kern w:val="0"/>
                <w:sz w:val="18"/>
                <w:szCs w:val="18"/>
                <w:highlight w:val="none"/>
              </w:rPr>
            </w:pPr>
          </w:p>
        </w:tc>
        <w:tc>
          <w:tcPr>
            <w:tcW w:w="1314" w:type="dxa"/>
            <w:tcBorders>
              <w:bottom w:val="single" w:color="000000" w:themeColor="text1" w:sz="4" w:space="0"/>
            </w:tcBorders>
          </w:tcPr>
          <w:p w14:paraId="715C1F4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4、投诉至社会媒体并被曝光（如报纸、杂志、电视广播、主流官网等）                                       </w:t>
            </w:r>
          </w:p>
        </w:tc>
        <w:tc>
          <w:tcPr>
            <w:tcW w:w="1038" w:type="dxa"/>
            <w:tcBorders>
              <w:bottom w:val="single" w:color="000000" w:themeColor="text1" w:sz="4" w:space="0"/>
            </w:tcBorders>
          </w:tcPr>
          <w:p w14:paraId="5823EB6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投诉至社会媒体并被曝光（如报纸、杂志、电视广播、主流官网等）                                       </w:t>
            </w:r>
          </w:p>
        </w:tc>
        <w:tc>
          <w:tcPr>
            <w:tcW w:w="3257" w:type="dxa"/>
            <w:tcBorders>
              <w:bottom w:val="single" w:color="000000" w:themeColor="text1" w:sz="4" w:space="0"/>
            </w:tcBorders>
          </w:tcPr>
          <w:p w14:paraId="677B31D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应妥善处理客户不满或者需求，不应让客户投诉到社会媒体</w:t>
            </w:r>
          </w:p>
        </w:tc>
        <w:tc>
          <w:tcPr>
            <w:tcW w:w="1787" w:type="dxa"/>
            <w:tcBorders>
              <w:bottom w:val="single" w:color="000000" w:themeColor="text1" w:sz="4" w:space="0"/>
            </w:tcBorders>
          </w:tcPr>
          <w:p w14:paraId="7D63FD6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报纸、杂志、电视广播、主流官网等曝光了事情</w:t>
            </w:r>
          </w:p>
        </w:tc>
        <w:tc>
          <w:tcPr>
            <w:tcW w:w="2139" w:type="dxa"/>
            <w:tcBorders>
              <w:bottom w:val="single" w:color="000000" w:themeColor="text1" w:sz="4" w:space="0"/>
            </w:tcBorders>
          </w:tcPr>
          <w:p w14:paraId="23FB489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200000元/次</w:t>
            </w:r>
          </w:p>
        </w:tc>
      </w:tr>
      <w:tr w14:paraId="23366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485" w:type="dxa"/>
          </w:tcPr>
          <w:p w14:paraId="3FCE9114">
            <w:pPr>
              <w:rPr>
                <w:rFonts w:hint="eastAsia" w:ascii="宋体" w:hAnsi="宋体"/>
                <w:color w:val="auto"/>
                <w:kern w:val="0"/>
                <w:sz w:val="18"/>
                <w:szCs w:val="18"/>
                <w:highlight w:val="none"/>
              </w:rPr>
            </w:pPr>
            <w:r>
              <w:rPr>
                <w:rFonts w:hint="eastAsia" w:ascii="宋体" w:hAnsi="宋体"/>
                <w:color w:val="auto"/>
                <w:kern w:val="0"/>
                <w:sz w:val="18"/>
                <w:szCs w:val="18"/>
                <w:highlight w:val="none"/>
              </w:rPr>
              <w:t>28</w:t>
            </w:r>
          </w:p>
        </w:tc>
        <w:tc>
          <w:tcPr>
            <w:tcW w:w="719" w:type="dxa"/>
          </w:tcPr>
          <w:p w14:paraId="713BE243">
            <w:pPr>
              <w:rPr>
                <w:rFonts w:hint="eastAsia" w:ascii="宋体" w:hAnsi="宋体"/>
                <w:color w:val="auto"/>
                <w:kern w:val="0"/>
                <w:sz w:val="18"/>
                <w:szCs w:val="18"/>
                <w:highlight w:val="none"/>
              </w:rPr>
            </w:pPr>
            <w:r>
              <w:rPr>
                <w:rFonts w:hint="eastAsia" w:ascii="宋体" w:hAnsi="宋体"/>
                <w:color w:val="auto"/>
                <w:kern w:val="0"/>
                <w:sz w:val="18"/>
                <w:szCs w:val="18"/>
                <w:highlight w:val="none"/>
              </w:rPr>
              <w:t>考核违约金缴交或履约保证金扣划</w:t>
            </w:r>
          </w:p>
        </w:tc>
        <w:tc>
          <w:tcPr>
            <w:tcW w:w="1314" w:type="dxa"/>
          </w:tcPr>
          <w:p w14:paraId="2D0DB48F">
            <w:pPr>
              <w:ind w:right="-107" w:rightChars="-51"/>
              <w:rPr>
                <w:rFonts w:hint="eastAsia" w:ascii="宋体" w:hAnsi="宋体"/>
                <w:color w:val="auto"/>
                <w:kern w:val="0"/>
                <w:sz w:val="18"/>
                <w:szCs w:val="18"/>
                <w:highlight w:val="none"/>
              </w:rPr>
            </w:pPr>
            <w:r>
              <w:rPr>
                <w:rFonts w:hint="eastAsia" w:ascii="宋体" w:hAnsi="宋体"/>
                <w:color w:val="auto"/>
                <w:kern w:val="0"/>
                <w:sz w:val="18"/>
                <w:szCs w:val="18"/>
                <w:highlight w:val="none"/>
              </w:rPr>
              <w:t>收到考核表后30</w:t>
            </w:r>
            <w:r>
              <w:rPr>
                <w:rFonts w:hint="eastAsia" w:ascii="宋体" w:hAnsi="宋体"/>
                <w:color w:val="auto"/>
                <w:kern w:val="0"/>
                <w:sz w:val="18"/>
                <w:szCs w:val="18"/>
                <w:highlight w:val="none"/>
              </w:rPr>
              <w:t>个日历</w:t>
            </w:r>
            <w:r>
              <w:rPr>
                <w:rFonts w:hint="eastAsia" w:ascii="宋体" w:hAnsi="宋体"/>
                <w:color w:val="auto"/>
                <w:kern w:val="0"/>
                <w:sz w:val="18"/>
                <w:szCs w:val="18"/>
                <w:highlight w:val="none"/>
              </w:rPr>
              <w:t>日内交清考核款项</w:t>
            </w:r>
          </w:p>
        </w:tc>
        <w:tc>
          <w:tcPr>
            <w:tcW w:w="1038" w:type="dxa"/>
          </w:tcPr>
          <w:p w14:paraId="5558A045">
            <w:pPr>
              <w:rPr>
                <w:rFonts w:hint="eastAsia" w:ascii="宋体" w:hAnsi="宋体"/>
                <w:color w:val="auto"/>
                <w:kern w:val="0"/>
                <w:sz w:val="18"/>
                <w:szCs w:val="18"/>
                <w:highlight w:val="none"/>
              </w:rPr>
            </w:pPr>
            <w:r>
              <w:rPr>
                <w:rFonts w:hint="eastAsia" w:ascii="宋体" w:hAnsi="宋体"/>
                <w:color w:val="auto"/>
                <w:kern w:val="0"/>
                <w:sz w:val="18"/>
                <w:szCs w:val="18"/>
                <w:highlight w:val="none"/>
              </w:rPr>
              <w:t>违约金缴交</w:t>
            </w:r>
          </w:p>
        </w:tc>
        <w:tc>
          <w:tcPr>
            <w:tcW w:w="3257" w:type="dxa"/>
          </w:tcPr>
          <w:p w14:paraId="6B2183DA">
            <w:pPr>
              <w:rPr>
                <w:rFonts w:hint="eastAsia" w:ascii="宋体" w:hAnsi="宋体"/>
                <w:color w:val="auto"/>
                <w:kern w:val="0"/>
                <w:sz w:val="18"/>
                <w:szCs w:val="18"/>
                <w:highlight w:val="none"/>
              </w:rPr>
            </w:pPr>
            <w:r>
              <w:rPr>
                <w:rFonts w:hint="eastAsia" w:ascii="宋体" w:hAnsi="宋体"/>
                <w:color w:val="auto"/>
                <w:kern w:val="0"/>
                <w:sz w:val="18"/>
                <w:szCs w:val="18"/>
                <w:highlight w:val="none"/>
              </w:rPr>
              <w:t>服务商应在收到万翔网商发出考核表后的30</w:t>
            </w:r>
            <w:r>
              <w:rPr>
                <w:rFonts w:hint="eastAsia" w:ascii="宋体" w:hAnsi="宋体"/>
                <w:color w:val="auto"/>
                <w:kern w:val="0"/>
                <w:sz w:val="18"/>
                <w:szCs w:val="18"/>
                <w:highlight w:val="none"/>
              </w:rPr>
              <w:t>个日历</w:t>
            </w:r>
            <w:r>
              <w:rPr>
                <w:rFonts w:hint="eastAsia" w:ascii="宋体" w:hAnsi="宋体"/>
                <w:color w:val="auto"/>
                <w:kern w:val="0"/>
                <w:sz w:val="18"/>
                <w:szCs w:val="18"/>
                <w:highlight w:val="none"/>
              </w:rPr>
              <w:t>日内交清违约金，交完后将付款情况告知万翔网商对应的采购专员。</w:t>
            </w:r>
          </w:p>
        </w:tc>
        <w:tc>
          <w:tcPr>
            <w:tcW w:w="1787" w:type="dxa"/>
          </w:tcPr>
          <w:p w14:paraId="62965706">
            <w:pPr>
              <w:rPr>
                <w:rFonts w:hint="eastAsia" w:ascii="宋体" w:hAnsi="宋体"/>
                <w:color w:val="auto"/>
                <w:kern w:val="0"/>
                <w:sz w:val="18"/>
                <w:szCs w:val="18"/>
                <w:highlight w:val="none"/>
              </w:rPr>
            </w:pPr>
            <w:r>
              <w:rPr>
                <w:rFonts w:hint="eastAsia" w:ascii="宋体" w:hAnsi="宋体"/>
                <w:color w:val="auto"/>
                <w:kern w:val="0"/>
                <w:sz w:val="18"/>
                <w:szCs w:val="18"/>
                <w:highlight w:val="none"/>
              </w:rPr>
              <w:t>未按要求时效和金额缴交违约金</w:t>
            </w:r>
          </w:p>
        </w:tc>
        <w:tc>
          <w:tcPr>
            <w:tcW w:w="2139" w:type="dxa"/>
          </w:tcPr>
          <w:p w14:paraId="6088050B">
            <w:pPr>
              <w:rPr>
                <w:rFonts w:hint="eastAsia" w:ascii="宋体" w:hAnsi="宋体"/>
                <w:color w:val="auto"/>
                <w:kern w:val="0"/>
                <w:sz w:val="18"/>
                <w:szCs w:val="18"/>
                <w:highlight w:val="none"/>
              </w:rPr>
            </w:pPr>
            <w:r>
              <w:rPr>
                <w:rFonts w:hint="eastAsia" w:ascii="宋体" w:hAnsi="宋体"/>
                <w:color w:val="auto"/>
                <w:kern w:val="0"/>
                <w:sz w:val="18"/>
                <w:szCs w:val="18"/>
                <w:highlight w:val="none"/>
              </w:rPr>
              <w:t>超过30</w:t>
            </w:r>
            <w:r>
              <w:rPr>
                <w:rFonts w:hint="eastAsia" w:ascii="宋体" w:hAnsi="宋体"/>
                <w:color w:val="auto"/>
                <w:kern w:val="0"/>
                <w:sz w:val="18"/>
                <w:szCs w:val="18"/>
                <w:highlight w:val="none"/>
              </w:rPr>
              <w:t>个日历</w:t>
            </w:r>
            <w:r>
              <w:rPr>
                <w:rFonts w:hint="eastAsia" w:ascii="宋体" w:hAnsi="宋体"/>
                <w:color w:val="auto"/>
                <w:kern w:val="0"/>
                <w:sz w:val="18"/>
                <w:szCs w:val="18"/>
                <w:highlight w:val="none"/>
              </w:rPr>
              <w:t>日按双倍计收违约金</w:t>
            </w:r>
          </w:p>
        </w:tc>
      </w:tr>
    </w:tbl>
    <w:p w14:paraId="1016D272">
      <w:pPr>
        <w:adjustRightInd w:val="0"/>
        <w:snapToGrid w:val="0"/>
        <w:rPr>
          <w:rFonts w:hint="eastAsia" w:ascii="宋体" w:hAnsi="宋体"/>
          <w:color w:val="auto"/>
          <w:sz w:val="24"/>
          <w:szCs w:val="24"/>
          <w:highlight w:val="none"/>
        </w:rPr>
        <w:sectPr>
          <w:pgSz w:w="11906" w:h="16838"/>
          <w:pgMar w:top="1440" w:right="1800" w:bottom="1440" w:left="1800" w:header="851" w:footer="992" w:gutter="0"/>
          <w:cols w:space="425" w:num="1"/>
          <w:docGrid w:type="lines" w:linePitch="312" w:charSpace="0"/>
        </w:sectPr>
      </w:pPr>
    </w:p>
    <w:p w14:paraId="2C46F6D7">
      <w:pPr>
        <w:rPr>
          <w:color w:val="auto"/>
          <w:highlight w:val="none"/>
        </w:rPr>
      </w:pPr>
    </w:p>
    <w:sectPr>
      <w:footerReference r:id="rId12"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Helvetica">
    <w:panose1 w:val="020B0504020202030204"/>
    <w:charset w:val="00"/>
    <w:family w:val="swiss"/>
    <w:pitch w:val="default"/>
    <w:sig w:usb0="00000007" w:usb1="00000000" w:usb2="00000000" w:usb3="00000000" w:csb0="00000093"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CA26E">
    <w:pPr>
      <w:pStyle w:val="8"/>
      <w:rPr>
        <w:rFonts w:hint="eastAsia"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B2DA9">
    <w:pPr>
      <w:pStyle w:val="8"/>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DFC12">
    <w:pPr>
      <w:pStyle w:val="8"/>
      <w:rPr>
        <w:rFonts w:hint="eastAsia"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E77B4">
    <w:pPr>
      <w:pStyle w:val="8"/>
      <w:jc w:val="center"/>
      <w:rPr>
        <w:rFonts w:hint="eastAsia" w:ascii="宋体" w:hAnsi="宋体"/>
      </w:rPr>
    </w:pPr>
    <w:r>
      <w:rPr>
        <w:rStyle w:val="16"/>
        <w:rFonts w:ascii="宋体" w:hAnsi="宋体"/>
        <w:szCs w:val="20"/>
      </w:rPr>
      <w:t>2-1-</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DE9B5">
    <w:pPr>
      <w:pStyle w:val="8"/>
      <w:tabs>
        <w:tab w:val="right" w:pos="8460"/>
        <w:tab w:val="clear" w:pos="8306"/>
      </w:tabs>
      <w:ind w:right="-89" w:firstLine="420"/>
      <w:jc w:val="center"/>
      <w:rPr>
        <w:rFonts w:hint="eastAsia" w:ascii="宋体" w:hAnsi="宋体"/>
      </w:rPr>
    </w:pPr>
    <w:r>
      <w:rPr>
        <w:rFonts w:ascii="宋体" w:hAnsi="宋体"/>
        <w:szCs w:val="20"/>
      </w:rPr>
      <w:t xml:space="preserve"> 3-</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4741A">
    <w:pPr>
      <w:pStyle w:val="8"/>
      <w:tabs>
        <w:tab w:val="right" w:pos="8460"/>
        <w:tab w:val="clear" w:pos="8306"/>
      </w:tabs>
      <w:ind w:right="-89" w:firstLine="420"/>
      <w:jc w:val="center"/>
      <w:rPr>
        <w:rFonts w:hint="eastAsia" w:ascii="宋体" w:hAnsi="宋体"/>
      </w:rP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w:t>
    </w:r>
    <w:r>
      <w:rPr>
        <w:rFonts w:ascii="宋体" w:hAnsi="宋体"/>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DEA02">
    <w:pPr>
      <w:pStyle w:val="8"/>
      <w:tabs>
        <w:tab w:val="right" w:pos="8460"/>
        <w:tab w:val="clear" w:pos="8306"/>
      </w:tabs>
      <w:ind w:right="-89" w:firstLine="420"/>
      <w:jc w:val="center"/>
      <w:rPr>
        <w:rFonts w:hint="eastAsia"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B17B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2E9FF">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D53A3">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8452A"/>
    <w:multiLevelType w:val="singleLevel"/>
    <w:tmpl w:val="8EC8452A"/>
    <w:lvl w:ilvl="0" w:tentative="0">
      <w:start w:val="2"/>
      <w:numFmt w:val="chineseCounting"/>
      <w:suff w:val="nothing"/>
      <w:lvlText w:val="（%1）"/>
      <w:lvlJc w:val="left"/>
      <w:rPr>
        <w:rFonts w:hint="eastAsia"/>
      </w:rPr>
    </w:lvl>
  </w:abstractNum>
  <w:abstractNum w:abstractNumId="1">
    <w:nsid w:val="AFB686DA"/>
    <w:multiLevelType w:val="singleLevel"/>
    <w:tmpl w:val="AFB686DA"/>
    <w:lvl w:ilvl="0" w:tentative="0">
      <w:start w:val="7"/>
      <w:numFmt w:val="decimal"/>
      <w:suff w:val="nothing"/>
      <w:lvlText w:val="（%1）"/>
      <w:lvlJc w:val="left"/>
    </w:lvl>
  </w:abstractNum>
  <w:abstractNum w:abstractNumId="2">
    <w:nsid w:val="BF6BC116"/>
    <w:multiLevelType w:val="singleLevel"/>
    <w:tmpl w:val="BF6BC116"/>
    <w:lvl w:ilvl="0" w:tentative="0">
      <w:start w:val="16"/>
      <w:numFmt w:val="decimal"/>
      <w:suff w:val="space"/>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A0F6431"/>
    <w:multiLevelType w:val="singleLevel"/>
    <w:tmpl w:val="7A0F6431"/>
    <w:lvl w:ilvl="0" w:tentative="0">
      <w:start w:val="1"/>
      <w:numFmt w:val="decimal"/>
      <w:suff w:val="space"/>
      <w:lvlText w:val="%1."/>
      <w:lvlJc w:val="left"/>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8"/>
  </w:num>
  <w:num w:numId="5">
    <w:abstractNumId w:val="6"/>
  </w:num>
  <w:num w:numId="6">
    <w:abstractNumId w:val="4"/>
  </w:num>
  <w:num w:numId="7">
    <w:abstractNumId w:val="3"/>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700901"/>
    <w:rsid w:val="730F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next w:val="1"/>
    <w:qFormat/>
    <w:uiPriority w:val="0"/>
    <w:pPr>
      <w:keepNext/>
      <w:keepLines/>
      <w:widowControl w:val="0"/>
      <w:spacing w:before="260" w:after="260" w:line="416" w:lineRule="auto"/>
      <w:jc w:val="both"/>
      <w:outlineLvl w:val="1"/>
    </w:pPr>
    <w:rPr>
      <w:rFonts w:ascii="Arial" w:hAnsi="Arial" w:eastAsia="黑体" w:cs="Times New Roman"/>
      <w:b/>
      <w:bCs/>
      <w:kern w:val="2"/>
      <w:sz w:val="32"/>
      <w:szCs w:val="32"/>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5">
    <w:name w:val="Body Text Indent"/>
    <w:basedOn w:val="1"/>
    <w:next w:val="1"/>
    <w:qFormat/>
    <w:uiPriority w:val="0"/>
    <w:pPr>
      <w:ind w:left="420" w:leftChars="200"/>
    </w:pPr>
  </w:style>
  <w:style w:type="paragraph" w:styleId="6">
    <w:name w:val="Plain Text"/>
    <w:basedOn w:val="1"/>
    <w:qFormat/>
    <w:uiPriority w:val="0"/>
    <w:rPr>
      <w:rFonts w:ascii="宋体" w:hAnsi="Courier New"/>
      <w:szCs w:val="20"/>
    </w:rPr>
  </w:style>
  <w:style w:type="paragraph" w:styleId="7">
    <w:name w:val="Body Text Indent 2"/>
    <w:basedOn w:val="1"/>
    <w:qFormat/>
    <w:uiPriority w:val="0"/>
    <w:pPr>
      <w:spacing w:after="120" w:line="480" w:lineRule="auto"/>
      <w:ind w:left="420"/>
    </w:pPr>
    <w:rPr>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1">
    <w:name w:val="Body Text First Indent 2"/>
    <w:basedOn w:val="5"/>
    <w:next w:val="1"/>
    <w:qFormat/>
    <w:uiPriority w:val="0"/>
    <w:pPr>
      <w:ind w:firstLine="420" w:firstLineChars="200"/>
    </w:p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8">
    <w:name w:val="Table Text"/>
    <w:basedOn w:val="1"/>
    <w:semiHidden/>
    <w:qFormat/>
    <w:uiPriority w:val="0"/>
    <w:rPr>
      <w:rFonts w:ascii="宋体" w:hAnsi="宋体" w:cs="宋体"/>
      <w:sz w:val="28"/>
      <w:szCs w:val="28"/>
      <w:lang w:eastAsia="en-US"/>
    </w:rPr>
  </w:style>
  <w:style w:type="paragraph" w:customStyle="1" w:styleId="19">
    <w:name w:val="列出段落1"/>
    <w:basedOn w:val="1"/>
    <w:qFormat/>
    <w:uiPriority w:val="0"/>
    <w:pPr>
      <w:ind w:firstLine="420" w:firstLineChars="200"/>
    </w:pPr>
    <w:rPr>
      <w:szCs w:val="24"/>
    </w:rPr>
  </w:style>
  <w:style w:type="paragraph" w:customStyle="1" w:styleId="20">
    <w:name w:val="p0"/>
    <w:basedOn w:val="1"/>
    <w:qFormat/>
    <w:uiPriority w:val="0"/>
    <w:pPr>
      <w:widowControl/>
    </w:pPr>
    <w:rPr>
      <w:kern w:val="0"/>
      <w:szCs w:val="21"/>
    </w:rPr>
  </w:style>
  <w:style w:type="paragraph" w:customStyle="1" w:styleId="2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83</Pages>
  <Words>15823</Words>
  <Characters>17298</Characters>
  <Lines>0</Lines>
  <Paragraphs>0</Paragraphs>
  <TotalTime>4</TotalTime>
  <ScaleCrop>false</ScaleCrop>
  <LinksUpToDate>false</LinksUpToDate>
  <CharactersWithSpaces>17534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2026-05-20T07:15:00Z</dcterms:created>
  <dc:creator>Dell</dc:creator>
  <cp:lastModifiedBy>陈</cp:lastModifiedBy>
  <dcterms:modified xsi:type="dcterms:W3CDTF">2026-05-20T07:59:37Z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2039E38183E04A61866793C733929FFF_12</vt:lpwstr>
  </property>
</Properties>
</file>